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arg-20250331.htm"/>
        <w:bookmarkStart w:id="1" w:name="kscarg2025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28"/>
        </w:rPr>
      </w:pPr>
      <w:r>
        <w:rPr>
          <w:rFonts w:ascii="Outfit;sans-serif" w:hAnsi="Outfit;sans-serif"/>
          <w:b/>
          <w:color w:val="00002D"/>
          <w:sz w:val="28"/>
        </w:rPr>
        <w:t>UNITED STATES</w:t>
      </w:r>
    </w:p>
    <w:p>
      <w:pPr>
        <w:pStyle w:val="TextBody"/>
        <w:bidi w:val="0"/>
        <w:jc w:val="center"/>
        <w:rPr>
          <w:rFonts w:ascii="Outfit;sans-serif" w:hAnsi="Outfit;sans-serif"/>
          <w:b/>
          <w:color w:val="00002D"/>
          <w:sz w:val="28"/>
        </w:rPr>
      </w:pPr>
      <w:r>
        <w:rPr>
          <w:rFonts w:ascii="Outfit;sans-serif" w:hAnsi="Outfit;sans-serif"/>
          <w:b/>
          <w:color w:val="00002D"/>
          <w:sz w:val="28"/>
        </w:rPr>
        <w:t>SECURITIES AND EXCHANGE COMMISSION</w:t>
      </w:r>
    </w:p>
    <w:p>
      <w:pPr>
        <w:pStyle w:val="TextBody"/>
        <w:bidi w:val="0"/>
        <w:jc w:val="center"/>
        <w:rPr>
          <w:rFonts w:ascii="Outfit;sans-serif" w:hAnsi="Outfit;sans-serif"/>
          <w:b/>
          <w:color w:val="00002D"/>
          <w:sz w:val="24"/>
        </w:rPr>
      </w:pPr>
      <w:r>
        <w:rPr>
          <w:rFonts w:ascii="Outfit;sans-serif" w:hAnsi="Outfit;sans-serif"/>
          <w:b/>
          <w:color w:val="00002D"/>
          <w:sz w:val="24"/>
        </w:rPr>
        <w:t>WASHINGTON, DC 20549</w:t>
      </w:r>
    </w:p>
    <w:p>
      <w:pPr>
        <w:pStyle w:val="TextBody"/>
        <w:bidi w:val="0"/>
        <w:spacing w:before="80" w:after="283"/>
        <w:jc w:val="center"/>
        <w:rPr>
          <w:rFonts w:ascii="Outfit;sans-serif" w:hAnsi="Outfit;sans-serif"/>
          <w:b/>
          <w:color w:val="00002D"/>
          <w:sz w:val="24"/>
        </w:rPr>
      </w:pPr>
      <w:r>
        <w:rPr>
          <w:rFonts w:ascii="Outfit;sans-serif" w:hAnsi="Outfit;sans-serif"/>
          <w:b/>
          <w:color w:val="00002D"/>
          <w:sz w:val="24"/>
        </w:rPr>
        <w:t>FORM 10-Q</w:t>
      </w:r>
    </w:p>
    <w:p>
      <w:pPr>
        <w:pStyle w:val="TextBody"/>
        <w:bidi w:val="0"/>
        <w:jc w:val="center"/>
        <w:rPr>
          <w:rFonts w:ascii="Outfit;sans-serif" w:hAnsi="Outfit;sans-serif"/>
          <w:b/>
          <w:color w:val="00002D"/>
          <w:sz w:val="18"/>
        </w:rPr>
      </w:pPr>
      <w:r>
        <w:rPr>
          <w:rFonts w:ascii="Outfit;sans-serif" w:hAnsi="Outfit;sans-serif"/>
          <w:b/>
          <w:color w:val="00002D"/>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QUARTERLY REPORT PURSUANT TO SECTION 13 OR 15(d) OF THE SECURITIES EXCHANGE ACT OF 1934</w:t>
            </w:r>
          </w:p>
        </w:tc>
      </w:tr>
    </w:tbl>
    <w:p>
      <w:pPr>
        <w:pStyle w:val="TextBody"/>
        <w:bidi w:val="0"/>
        <w:spacing w:before="120" w:after="283"/>
        <w:jc w:val="center"/>
        <w:rPr>
          <w:rFonts w:ascii="Outfit;sans-serif" w:hAnsi="Outfit;sans-serif"/>
          <w:b/>
          <w:color w:val="00002D"/>
          <w:sz w:val="20"/>
        </w:rPr>
      </w:pPr>
      <w:r>
        <w:rPr>
          <w:rFonts w:ascii="Outfit;sans-serif" w:hAnsi="Outfit;sans-serif"/>
          <w:b/>
          <w:color w:val="00002D"/>
          <w:sz w:val="20"/>
        </w:rPr>
        <w:t>For the quarterly period ended March 31, 2025</w:t>
      </w:r>
    </w:p>
    <w:p>
      <w:pPr>
        <w:pStyle w:val="TextBody"/>
        <w:bidi w:val="0"/>
        <w:spacing w:before="80" w:after="120"/>
        <w:jc w:val="center"/>
        <w:rPr>
          <w:rFonts w:ascii="Outfit;sans-serif" w:hAnsi="Outfit;sans-serif"/>
          <w:b/>
          <w:color w:val="00002D"/>
          <w:sz w:val="20"/>
        </w:rPr>
      </w:pPr>
      <w:r>
        <w:rPr>
          <w:rFonts w:ascii="Outfit;sans-serif" w:hAnsi="Outfit;sans-serif"/>
          <w:b/>
          <w:color w:val="00002D"/>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2D"/>
              </w:rPr>
            </w:pPr>
            <w:r>
              <w:rPr>
                <w:color w:val="00002D"/>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Outfit;sans-serif" w:hAnsi="Outfit;sans-serif"/>
          <w:b/>
          <w:color w:val="00002D"/>
          <w:sz w:val="20"/>
        </w:rPr>
      </w:pPr>
      <w:r>
        <w:rPr>
          <w:rFonts w:ascii="Outfit;sans-serif" w:hAnsi="Outfit;sans-serif"/>
          <w:b/>
          <w:color w:val="00002D"/>
          <w:sz w:val="20"/>
        </w:rPr>
        <w:t>For the transition period from _________________ to _________________</w:t>
      </w:r>
    </w:p>
    <w:p>
      <w:pPr>
        <w:pStyle w:val="TextBody"/>
        <w:bidi w:val="0"/>
        <w:spacing w:before="80" w:after="283"/>
        <w:jc w:val="center"/>
        <w:rPr>
          <w:rFonts w:ascii="Outfit;sans-serif" w:hAnsi="Outfit;sans-serif"/>
          <w:b/>
          <w:color w:val="00002D"/>
          <w:sz w:val="18"/>
        </w:rPr>
      </w:pPr>
      <w:r>
        <w:rPr>
          <w:rFonts w:ascii="Outfit;sans-serif" w:hAnsi="Outfit;sans-serif"/>
          <w:b/>
          <w:color w:val="00002D"/>
          <w:sz w:val="18"/>
        </w:rPr>
        <w:t>Commission File Number: 001-38233</w:t>
      </w:r>
    </w:p>
    <w:p>
      <w:pPr>
        <w:pStyle w:val="TextBody"/>
        <w:bidi w:val="0"/>
        <w:jc w:val="center"/>
        <w:rPr/>
      </w:pPr>
      <w:r>
        <w:rPr/>
        <w:t> </w:t>
      </w:r>
    </w:p>
    <w:p>
      <w:pPr>
        <w:pStyle w:val="TextBody"/>
        <w:bidi w:val="0"/>
        <w:jc w:val="center"/>
        <w:rPr/>
      </w:pPr>
      <w:r>
        <w:rPr/>
        <w:drawing>
          <wp:inline distT="0" distB="0" distL="0" distR="0">
            <wp:extent cx="132397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228600"/>
                    </a:xfrm>
                    <a:prstGeom prst="rect">
                      <a:avLst/>
                    </a:prstGeom>
                  </pic:spPr>
                </pic:pic>
              </a:graphicData>
            </a:graphic>
          </wp:inline>
        </w:drawing>
      </w:r>
    </w:p>
    <w:p>
      <w:pPr>
        <w:pStyle w:val="TextBody"/>
        <w:bidi w:val="0"/>
        <w:jc w:val="center"/>
        <w:rPr/>
      </w:pPr>
      <w:r>
        <w:rPr/>
        <w:t> </w:t>
      </w:r>
    </w:p>
    <w:p>
      <w:pPr>
        <w:pStyle w:val="TextBody"/>
        <w:bidi w:val="0"/>
        <w:jc w:val="center"/>
        <w:rPr>
          <w:rFonts w:ascii="Outfit;sans-serif" w:hAnsi="Outfit;sans-serif"/>
          <w:b/>
          <w:color w:val="00002D"/>
          <w:sz w:val="38"/>
        </w:rPr>
      </w:pPr>
      <w:r>
        <w:rPr>
          <w:rFonts w:ascii="Outfit;sans-serif" w:hAnsi="Outfit;sans-serif"/>
          <w:b/>
          <w:color w:val="00002D"/>
          <w:sz w:val="38"/>
        </w:rPr>
        <w:t>CarGurus, Inc.</w:t>
      </w:r>
    </w:p>
    <w:p>
      <w:pPr>
        <w:pStyle w:val="TextBody"/>
        <w:bidi w:val="0"/>
        <w:jc w:val="center"/>
        <w:rPr>
          <w:rFonts w:ascii="Outfit;sans-serif" w:hAnsi="Outfit;sans-serif"/>
          <w:b/>
          <w:color w:val="00002D"/>
          <w:sz w:val="18"/>
        </w:rPr>
      </w:pPr>
      <w:r>
        <w:rPr>
          <w:rFonts w:ascii="Outfit;sans-serif" w:hAnsi="Outfit;sans-serif"/>
          <w:b/>
          <w:color w:val="00002D"/>
          <w:sz w:val="18"/>
        </w:rPr>
        <w:t>(Exact Name of Registrant as Specified in its Charter)</w:t>
      </w:r>
    </w:p>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5056"/>
        <w:gridCol w:w="2971"/>
      </w:tblGrid>
      <w:tr>
        <w:trPr/>
        <w:tc>
          <w:tcPr>
            <w:tcW w:w="505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Delaware</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20"/>
              </w:rPr>
            </w:pPr>
            <w:r>
              <w:rPr>
                <w:rFonts w:ascii="Outfit;sans-serif" w:hAnsi="Outfit;sans-serif"/>
                <w:b/>
                <w:color w:val="00002D"/>
                <w:sz w:val="20"/>
              </w:rPr>
              <w:t>04-3843478</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(State or other jurisdiction of incorporation or organization)</w:t>
            </w:r>
          </w:p>
        </w:tc>
        <w:tc>
          <w:tcPr>
            <w:tcW w:w="29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(I.R.S. Employer Identification No.)</w:t>
            </w:r>
          </w:p>
        </w:tc>
      </w:tr>
    </w:tbl>
    <w:p>
      <w:pPr>
        <w:pStyle w:val="TextBody"/>
        <w:bidi w:val="0"/>
        <w:spacing w:before="40" w:after="283"/>
        <w:jc w:val="center"/>
        <w:rPr>
          <w:rFonts w:ascii="Times New Roman" w:hAnsi="Times New Roman"/>
          <w:sz w:val="20"/>
        </w:rPr>
      </w:pPr>
      <w:r>
        <w:rPr>
          <w:rFonts w:ascii="Outfit;sans-serif" w:hAnsi="Outfit;sans-serif"/>
          <w:b/>
          <w:color w:val="00002D"/>
          <w:sz w:val="20"/>
        </w:rPr>
        <w:t>1001 Boylston Street, 16</w:t>
      </w:r>
      <w:r>
        <w:rPr>
          <w:rFonts w:ascii="Outfit;sans-serif" w:hAnsi="Outfit;sans-serif"/>
          <w:b/>
          <w:color w:val="00002D"/>
          <w:sz w:val="13"/>
        </w:rPr>
        <w:t>th</w:t>
      </w:r>
      <w:r>
        <w:rPr>
          <w:rFonts w:ascii="Outfit;sans-serif" w:hAnsi="Outfit;sans-serif"/>
          <w:color w:val="00002D"/>
          <w:sz w:val="20"/>
        </w:rPr>
        <w:t xml:space="preserve"> </w:t>
      </w:r>
      <w:r>
        <w:rPr>
          <w:rFonts w:ascii="Outfit;sans-serif" w:hAnsi="Outfit;sans-serif"/>
          <w:b/>
          <w:color w:val="00002D"/>
          <w:sz w:val="20"/>
        </w:rPr>
        <w:t>Floor</w:t>
      </w:r>
      <w:r>
        <w:rPr>
          <w:rFonts w:ascii="Times New Roman" w:hAnsi="Times New Roman"/>
          <w:color w:val="00002D"/>
          <w:sz w:val="20"/>
        </w:rPr>
        <w:t xml:space="preserve"> </w:t>
      </w:r>
      <w:r>
        <w:rPr>
          <w:rFonts w:ascii="Outfit;sans-serif" w:hAnsi="Outfit;sans-serif"/>
          <w:b/>
          <w:color w:val="00002D"/>
          <w:sz w:val="20"/>
        </w:rPr>
        <w:t>Boston, Massachusetts</w:t>
      </w:r>
      <w:r>
        <w:rPr>
          <w:rFonts w:ascii="Times New Roman" w:hAnsi="Times New Roman"/>
          <w:color w:val="00002D"/>
          <w:sz w:val="20"/>
        </w:rPr>
        <w:t xml:space="preserve"> </w:t>
      </w:r>
      <w:r>
        <w:rPr>
          <w:rFonts w:ascii="Outfit;sans-serif" w:hAnsi="Outfit;sans-serif"/>
          <w:b/>
          <w:color w:val="00002D"/>
          <w:sz w:val="20"/>
        </w:rPr>
        <w:t>02115</w:t>
      </w:r>
    </w:p>
    <w:p>
      <w:pPr>
        <w:pStyle w:val="TextBody"/>
        <w:bidi w:val="0"/>
        <w:jc w:val="center"/>
        <w:rPr>
          <w:rFonts w:ascii="Outfit;sans-serif" w:hAnsi="Outfit;sans-serif"/>
          <w:i/>
          <w:color w:val="00002D"/>
          <w:sz w:val="16"/>
        </w:rPr>
      </w:pPr>
      <w:r>
        <w:rPr>
          <w:rFonts w:ascii="Outfit;sans-serif" w:hAnsi="Outfit;sans-serif"/>
          <w:i/>
          <w:color w:val="00002D"/>
          <w:sz w:val="16"/>
        </w:rPr>
        <w:t>(Address of principal executive offices Zip Code)</w:t>
      </w:r>
    </w:p>
    <w:p>
      <w:pPr>
        <w:pStyle w:val="TextBody"/>
        <w:bidi w:val="0"/>
        <w:jc w:val="center"/>
        <w:rPr>
          <w:rFonts w:ascii="Outfit;sans-serif" w:hAnsi="Outfit;sans-serif"/>
          <w:b/>
          <w:color w:val="00002D"/>
          <w:sz w:val="18"/>
        </w:rPr>
      </w:pPr>
      <w:r>
        <w:rPr>
          <w:rFonts w:ascii="Outfit;sans-serif" w:hAnsi="Outfit;sans-serif"/>
          <w:b/>
          <w:color w:val="00002D"/>
          <w:sz w:val="18"/>
        </w:rPr>
        <w:t>(617) 354-0068</w:t>
      </w:r>
    </w:p>
    <w:p>
      <w:pPr>
        <w:pStyle w:val="TextBody"/>
        <w:bidi w:val="0"/>
        <w:spacing w:before="40" w:after="283"/>
        <w:jc w:val="center"/>
        <w:rPr>
          <w:rFonts w:ascii="Outfit;sans-serif" w:hAnsi="Outfit;sans-serif"/>
          <w:i/>
          <w:color w:val="00002D"/>
          <w:sz w:val="16"/>
        </w:rPr>
      </w:pPr>
      <w:r>
        <w:rPr>
          <w:rFonts w:ascii="Outfit;sans-serif" w:hAnsi="Outfit;sans-serif"/>
          <w:i/>
          <w:color w:val="00002D"/>
          <w:sz w:val="16"/>
        </w:rPr>
        <w:t>(Registrant’s telephone number, including area code)</w:t>
      </w:r>
    </w:p>
    <w:p>
      <w:pPr>
        <w:pStyle w:val="TextBody"/>
        <w:bidi w:val="0"/>
        <w:spacing w:before="40" w:after="283"/>
        <w:jc w:val="center"/>
        <w:rPr>
          <w:rFonts w:ascii="Outfit;sans-serif" w:hAnsi="Outfit;sans-serif"/>
          <w:color w:val="00002D"/>
          <w:sz w:val="18"/>
        </w:rPr>
      </w:pPr>
      <w:r>
        <w:rPr>
          <w:rFonts w:ascii="Outfit;sans-serif" w:hAnsi="Outfit;sans-serif"/>
          <w:color w:val="00002D"/>
          <w:sz w:val="18"/>
        </w:rPr>
        <w:t>Securities registered pursuant to Section 12(b) of the Act: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71"/>
        <w:gridCol w:w="1286"/>
        <w:gridCol w:w="4848"/>
      </w:tblGrid>
      <w:tr>
        <w:trPr/>
        <w:tc>
          <w:tcPr>
            <w:tcW w:w="40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4848" w:type="dxa"/>
            <w:tcBorders/>
            <w:vAlign w:val="center"/>
          </w:tcPr>
          <w:p>
            <w:pPr>
              <w:pStyle w:val="TableContents"/>
              <w:bidi w:val="0"/>
              <w:spacing w:before="0" w:after="283"/>
              <w:jc w:val="left"/>
              <w:rPr>
                <w:sz w:val="4"/>
                <w:szCs w:val="4"/>
              </w:rPr>
            </w:pPr>
            <w:r>
              <w:rPr>
                <w:sz w:val="4"/>
                <w:szCs w:val="4"/>
              </w:rPr>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Class A Common Stock, par value $0.001 per share</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2D"/>
                <w:sz w:val="17"/>
              </w:rPr>
            </w:pPr>
            <w:r>
              <w:rPr>
                <w:rFonts w:ascii="Outfit;sans-serif" w:hAnsi="Outfit;sans-serif"/>
                <w:b/>
                <w:color w:val="00002D"/>
                <w:sz w:val="17"/>
              </w:rPr>
              <w:t>CARG</w:t>
            </w:r>
          </w:p>
        </w:tc>
        <w:tc>
          <w:tcPr>
            <w:tcW w:w="4848"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Outfit;sans-serif" w:hAnsi="Outfit;sans-serif"/>
                <w:b/>
                <w:color w:val="00002D"/>
                <w:sz w:val="17"/>
              </w:rPr>
              <w:t>The Nasdaq Stock Market LLC</w:t>
            </w:r>
            <w:r>
              <w:rPr>
                <w:rFonts w:ascii="Times New Roman" w:hAnsi="Times New Roman"/>
                <w:color w:val="00002D"/>
                <w:sz w:val="20"/>
              </w:rPr>
              <w:t> </w:t>
            </w:r>
            <w:r>
              <w:rPr>
                <w:rFonts w:ascii="Outfit;sans-serif" w:hAnsi="Outfit;sans-serif"/>
                <w:b/>
                <w:color w:val="00002D"/>
                <w:sz w:val="17"/>
              </w:rPr>
              <w:t>(Nasdaq Global Select Market)</w:t>
            </w:r>
          </w:p>
          <w:p>
            <w:pPr>
              <w:pStyle w:val="TableContents"/>
              <w:bidi w:val="0"/>
              <w:spacing w:before="0" w:after="283"/>
              <w:jc w:val="center"/>
              <w:rPr/>
            </w:pPr>
            <w:r>
              <w:rPr/>
              <w:t> </w:t>
            </w:r>
          </w:p>
        </w:tc>
      </w:tr>
      <w:tr>
        <w:trPr/>
        <w:tc>
          <w:tcPr>
            <w:tcW w:w="4071"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Title of Each Class</w:t>
            </w:r>
          </w:p>
        </w:tc>
        <w:tc>
          <w:tcPr>
            <w:tcW w:w="1286"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Trading Symbol</w:t>
            </w:r>
          </w:p>
        </w:tc>
        <w:tc>
          <w:tcPr>
            <w:tcW w:w="484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i/>
                <w:color w:val="00002D"/>
                <w:sz w:val="16"/>
              </w:rPr>
            </w:pPr>
            <w:r>
              <w:rPr>
                <w:rFonts w:ascii="Outfit;sans-serif" w:hAnsi="Outfit;sans-serif"/>
                <w:i/>
                <w:color w:val="00002D"/>
                <w:sz w:val="16"/>
              </w:rPr>
              <w:t>Name of Exchange on Which Registered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0"/>
        <w:gridCol w:w="109"/>
        <w:gridCol w:w="496"/>
        <w:gridCol w:w="109"/>
        <w:gridCol w:w="406"/>
        <w:gridCol w:w="275"/>
      </w:tblGrid>
      <w:tr>
        <w:trPr/>
        <w:tc>
          <w:tcPr>
            <w:tcW w:w="8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810" w:type="dxa"/>
            <w:tcBorders>
              <w:bottom w:val="single" w:sz="12" w:space="0" w:color="3465B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Indicate by check mark:</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Yes</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8" w:space="0" w:color="3465B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No</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both"/>
              <w:rPr>
                <w:color w:val="3465B0"/>
              </w:rPr>
            </w:pPr>
            <w:r>
              <w:rPr>
                <w:color w:val="3465B0"/>
              </w:rPr>
              <w:t>•</w:t>
            </w:r>
          </w:p>
          <w:p>
            <w:pPr>
              <w:pStyle w:val="TableContents"/>
              <w:bidi w:val="0"/>
              <w:spacing w:before="0" w:after="0"/>
              <w:jc w:val="both"/>
              <w:rPr>
                <w:rFonts w:ascii="Outfit;sans-serif" w:hAnsi="Outfit;sans-serif"/>
                <w:color w:val="00002D"/>
                <w:sz w:val="16"/>
              </w:rPr>
            </w:pPr>
            <w:r>
              <w:rPr>
                <w:rFonts w:ascii="Outfit;sans-serif" w:hAnsi="Outfit;sans-serif"/>
                <w:color w:val="00002D"/>
                <w:sz w:val="16"/>
              </w:rPr>
              <w:t>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10" w:type="dxa"/>
            <w:tcBorders>
              <w:bottom w:val="single" w:sz="4" w:space="0" w:color="DAE1EB"/>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109"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DAE1EB"/>
            </w:tcBorders>
            <w:tcMar>
              <w:top w:w="0" w:type="dxa"/>
              <w:left w:w="0" w:type="dxa"/>
              <w:right w:w="0" w:type="dxa"/>
            </w:tcMar>
            <w:vAlign w:val="center"/>
          </w:tcPr>
          <w:p>
            <w:pPr>
              <w:pStyle w:val="TableContents"/>
              <w:bidi w:val="0"/>
              <w:spacing w:before="0" w:after="283"/>
              <w:jc w:val="center"/>
              <w:rPr/>
            </w:pPr>
            <w:r>
              <w:rPr/>
              <w:t> </w:t>
            </w:r>
          </w:p>
        </w:tc>
        <w:tc>
          <w:tcPr>
            <w:tcW w:w="275" w:type="dxa"/>
            <w:tcBorders>
              <w:bottom w:val="single" w:sz="4" w:space="0" w:color="DAE1E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3"/>
        <w:gridCol w:w="316"/>
        <w:gridCol w:w="1370"/>
        <w:gridCol w:w="316"/>
        <w:gridCol w:w="1745"/>
        <w:gridCol w:w="316"/>
        <w:gridCol w:w="1809"/>
        <w:gridCol w:w="316"/>
        <w:gridCol w:w="1922"/>
        <w:gridCol w:w="362"/>
      </w:tblGrid>
      <w:tr>
        <w:trPr/>
        <w:tc>
          <w:tcPr>
            <w:tcW w:w="17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33"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37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745"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809"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Small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c>
          <w:tcPr>
            <w:tcW w:w="1922"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2D"/>
                <w:sz w:val="16"/>
              </w:rPr>
            </w:pPr>
            <w:r>
              <w:rPr>
                <w:rFonts w:ascii="Outfit;sans-serif" w:hAnsi="Outfit;sans-serif"/>
                <w:color w:val="00002D"/>
                <w:sz w:val="16"/>
              </w:rPr>
              <w:t>Emerging growth company</w:t>
            </w:r>
          </w:p>
        </w:tc>
        <w:tc>
          <w:tcPr>
            <w:tcW w:w="362" w:type="dxa"/>
            <w:tcBorders/>
            <w:tcMar>
              <w:top w:w="0" w:type="dxa"/>
              <w:left w:w="0" w:type="dxa"/>
              <w:bottom w:w="0" w:type="dxa"/>
              <w:right w:w="0" w:type="dxa"/>
            </w:tcMar>
            <w:vAlign w:val="center"/>
          </w:tcPr>
          <w:p>
            <w:pPr>
              <w:pStyle w:val="TableContents"/>
              <w:bidi w:val="0"/>
              <w:spacing w:before="0" w:after="283"/>
              <w:jc w:val="center"/>
              <w:rPr>
                <w:color w:val="00002D"/>
              </w:rPr>
            </w:pPr>
            <w:r>
              <w:rPr>
                <w:color w:val="00002D"/>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0"/>
        <w:gridCol w:w="109"/>
        <w:gridCol w:w="316"/>
        <w:gridCol w:w="109"/>
        <w:gridCol w:w="316"/>
        <w:gridCol w:w="275"/>
      </w:tblGrid>
      <w:tr>
        <w:trPr/>
        <w:tc>
          <w:tcPr>
            <w:tcW w:w="9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9080" w:type="dxa"/>
            <w:tcBorders>
              <w:top w:val="single" w:sz="4" w:space="0" w:color="DAE1EB"/>
              <w:bottom w:val="single" w:sz="12" w:space="0" w:color="DAE1EB"/>
            </w:tcBorders>
            <w:tcMar>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09" w:type="dxa"/>
            <w:tcBorders>
              <w:top w:val="single" w:sz="4" w:space="0" w:color="DAE1EB"/>
              <w:bottom w:val="single" w:sz="8" w:space="0" w:color="DAE1EB"/>
            </w:tcBorders>
            <w:tcMar>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4"/>
            <w:tcBorders>
              <w:top w:val="single" w:sz="4" w:space="0" w:color="DAE1EB"/>
              <w:bottom w:val="single" w:sz="8" w:space="0" w:color="DAE1EB"/>
            </w:tcBorders>
            <w:tcMar>
              <w:left w:w="0" w:type="dxa"/>
              <w:right w:w="0" w:type="dxa"/>
            </w:tcMar>
            <w:vAlign w:val="center"/>
          </w:tcPr>
          <w:p>
            <w:pPr>
              <w:pStyle w:val="TableContents"/>
              <w:bidi w:val="0"/>
              <w:spacing w:before="0" w:after="283"/>
              <w:ind w:left="0" w:right="0" w:firstLine="144"/>
              <w:jc w:val="center"/>
              <w:rPr>
                <w:color w:val="00002D"/>
              </w:rPr>
            </w:pPr>
            <w:r>
              <w:rPr>
                <w:color w:val="00002D"/>
              </w:rPr>
              <w:t>☐</w:t>
            </w:r>
          </w:p>
        </w:tc>
      </w:tr>
      <w:tr>
        <w:trPr/>
        <w:tc>
          <w:tcPr>
            <w:tcW w:w="9080" w:type="dxa"/>
            <w:tcBorders>
              <w:bottom w:val="single" w:sz="12" w:space="0" w:color="3465B0"/>
            </w:tcBorders>
            <w:tcMar>
              <w:top w:w="0" w:type="dxa"/>
              <w:left w:w="0" w:type="dxa"/>
              <w:right w:w="0" w:type="dxa"/>
            </w:tcMar>
            <w:vAlign w:val="center"/>
          </w:tcPr>
          <w:p>
            <w:pPr>
              <w:pStyle w:val="TableContents"/>
              <w:bidi w:val="0"/>
              <w:spacing w:before="0" w:after="0"/>
              <w:jc w:val="left"/>
              <w:rPr>
                <w:color w:val="3465B0"/>
              </w:rPr>
            </w:pPr>
            <w:r>
              <w:rPr>
                <w:color w:val="3465B0"/>
              </w:rPr>
              <w:t>•</w:t>
            </w:r>
          </w:p>
          <w:p>
            <w:pPr>
              <w:pStyle w:val="TableContents"/>
              <w:bidi w:val="0"/>
              <w:spacing w:before="0" w:after="0"/>
              <w:jc w:val="left"/>
              <w:rPr>
                <w:rFonts w:ascii="Outfit;sans-serif" w:hAnsi="Outfit;sans-serif"/>
                <w:color w:val="00002D"/>
                <w:sz w:val="16"/>
              </w:rPr>
            </w:pPr>
            <w:r>
              <w:rPr>
                <w:rFonts w:ascii="Outfit;sans-serif" w:hAnsi="Outfit;sans-serif"/>
                <w:color w:val="00002D"/>
                <w:sz w:val="16"/>
              </w:rPr>
              <w:t>whether the registrant is a shell company (as defined in Rule 12b-2 of the Exchange Act).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109"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8" w:space="0" w:color="3465B0"/>
            </w:tcBorders>
            <w:tcMar>
              <w:top w:w="0" w:type="dxa"/>
              <w:left w:w="0" w:type="dxa"/>
              <w:right w:w="0" w:type="dxa"/>
            </w:tcMar>
            <w:vAlign w:val="center"/>
          </w:tcPr>
          <w:p>
            <w:pPr>
              <w:pStyle w:val="TableContents"/>
              <w:bidi w:val="0"/>
              <w:spacing w:before="0" w:after="283"/>
              <w:jc w:val="center"/>
              <w:rPr>
                <w:color w:val="00002D"/>
              </w:rPr>
            </w:pPr>
            <w:r>
              <w:rPr>
                <w:color w:val="00002D"/>
              </w:rPr>
              <w:t>☒</w:t>
            </w:r>
          </w:p>
        </w:tc>
        <w:tc>
          <w:tcPr>
            <w:tcW w:w="275" w:type="dxa"/>
            <w:tcBorders>
              <w:bottom w:val="single" w:sz="8" w:space="0" w:color="3465B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Outfit;sans-serif" w:hAnsi="Outfit;sans-serif"/>
          <w:color w:val="00002D"/>
          <w:sz w:val="16"/>
        </w:rPr>
        <w:t>As of April 30, 2025, the registrant had 84,630,375</w:t>
      </w:r>
      <w:r>
        <w:rPr>
          <w:rFonts w:ascii="Times New Roman" w:hAnsi="Times New Roman"/>
          <w:color w:val="00002D"/>
          <w:sz w:val="20"/>
        </w:rPr>
        <w:t xml:space="preserve"> </w:t>
      </w:r>
      <w:r>
        <w:rPr>
          <w:rFonts w:ascii="Outfit;sans-serif" w:hAnsi="Outfit;sans-serif"/>
          <w:color w:val="00002D"/>
          <w:sz w:val="16"/>
        </w:rPr>
        <w:t>shares of Class A common stock, $0.001 par value per share, and 14,216,250</w:t>
      </w:r>
      <w:r>
        <w:rPr>
          <w:rFonts w:ascii="Times New Roman" w:hAnsi="Times New Roman"/>
          <w:color w:val="00002D"/>
          <w:sz w:val="20"/>
        </w:rPr>
        <w:t xml:space="preserve"> </w:t>
      </w:r>
      <w:r>
        <w:rPr>
          <w:rFonts w:ascii="Outfit;sans-serif" w:hAnsi="Outfit;sans-serif"/>
          <w:color w:val="00002D"/>
          <w:sz w:val="16"/>
        </w:rPr>
        <w:t>shares of Class B common stock, par value $0.001 per share,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bookmarkStart w:id="2" w:name="toc_page"/>
      <w:bookmarkEnd w:id="2"/>
      <w:r>
        <w:rPr>
          <w:rFonts w:ascii="Outfit;sans-serif" w:hAnsi="Outfit;sans-serif"/>
          <w:b/>
          <w:color w:val="3465B0"/>
          <w:sz w:val="4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8575"/>
        <w:gridCol w:w="452"/>
      </w:tblGrid>
      <w:tr>
        <w:trPr/>
        <w:tc>
          <w:tcPr>
            <w:tcW w:w="1178" w:type="dxa"/>
            <w:tcBorders/>
            <w:vAlign w:val="center"/>
          </w:tcPr>
          <w:p>
            <w:pPr>
              <w:pStyle w:val="TableContents"/>
              <w:bidi w:val="0"/>
              <w:spacing w:before="0" w:after="283"/>
              <w:jc w:val="left"/>
              <w:rPr>
                <w:sz w:val="4"/>
                <w:szCs w:val="4"/>
              </w:rPr>
            </w:pPr>
            <w:r>
              <w:rPr>
                <w:sz w:val="4"/>
                <w:szCs w:val="4"/>
              </w:rPr>
            </w:r>
          </w:p>
        </w:tc>
        <w:tc>
          <w:tcPr>
            <w:tcW w:w="857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Outfit;sans-serif" w:hAnsi="Outfit;sans-serif"/>
                  <w:b/>
                  <w:color w:val="3465B0"/>
                  <w:sz w:val="24"/>
                </w:rPr>
                <w:t>FINANCIAL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3</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financial_statements">
              <w:r>
                <w:rPr>
                  <w:rStyle w:val="InternetLink"/>
                  <w:rFonts w:ascii="Outfit;sans-serif" w:hAnsi="Outfit;sans-serif"/>
                  <w:color w:val="00002D"/>
                  <w:sz w:val="20"/>
                </w:rPr>
                <w:t>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3</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unaudited_condensed_consolidated_balance">
              <w:r>
                <w:rPr>
                  <w:rStyle w:val="InternetLink"/>
                  <w:rFonts w:ascii="Outfit;sans-serif" w:hAnsi="Outfit;sans-serif"/>
                  <w:color w:val="00002D"/>
                  <w:sz w:val="20"/>
                </w:rPr>
                <w:t>Unaudited Condensed Consolidated Balance Sheets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3</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operations">
              <w:r>
                <w:rPr>
                  <w:rStyle w:val="InternetLink"/>
                  <w:rFonts w:ascii="Outfit;sans-serif" w:hAnsi="Outfit;sans-serif"/>
                  <w:color w:val="00002D"/>
                  <w:sz w:val="20"/>
                </w:rPr>
                <w:t>Unaudited Condensed Consolidated Income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_statements_comprehensive_lo">
              <w:r>
                <w:rPr>
                  <w:rStyle w:val="InternetLink"/>
                  <w:rFonts w:ascii="Outfit;sans-serif" w:hAnsi="Outfit;sans-serif"/>
                  <w:color w:val="00002D"/>
                  <w:sz w:val="20"/>
                </w:rPr>
                <w:t>Unaudited Condensed Consolidated Statements of Comprehensive Income</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5</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stockholders_equity">
              <w:r>
                <w:rPr>
                  <w:rStyle w:val="InternetLink"/>
                  <w:rFonts w:ascii="Outfit;sans-serif" w:hAnsi="Outfit;sans-serif"/>
                  <w:color w:val="00002D"/>
                  <w:sz w:val="20"/>
                </w:rPr>
                <w:t>Unaudited Condensed Consolidated Statements of Stockholders’ Equity</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consolidatedstatementsofcashflows">
              <w:r>
                <w:rPr>
                  <w:rStyle w:val="InternetLink"/>
                  <w:rFonts w:ascii="Outfit;sans-serif" w:hAnsi="Outfit;sans-serif"/>
                  <w:color w:val="00002D"/>
                  <w:sz w:val="20"/>
                </w:rPr>
                <w:t>Unaudited Condensed Consolidated Statements of Cash Flows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7</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r>
              <w:rPr/>
              <w:t> </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notes_to_consolidated_financial_statemen">
              <w:r>
                <w:rPr>
                  <w:rStyle w:val="InternetLink"/>
                  <w:rFonts w:ascii="Outfit;sans-serif" w:hAnsi="Outfit;sans-serif"/>
                  <w:color w:val="00002D"/>
                  <w:sz w:val="20"/>
                </w:rPr>
                <w:t>Notes to Unaudited Condensed Consolidated Financial Statements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8</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managements_discussion_analysis_f">
              <w:r>
                <w:rPr>
                  <w:rStyle w:val="InternetLink"/>
                  <w:rFonts w:ascii="Outfit;sans-serif" w:hAnsi="Outfit;sans-serif"/>
                  <w:color w:val="00002D"/>
                  <w:sz w:val="20"/>
                </w:rPr>
                <w:t>Management’s Discussion and Analysis of Financial Condition and Results of Operations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22</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3.</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3_quantitative_qualitative_disclosu">
              <w:r>
                <w:rPr>
                  <w:rStyle w:val="InternetLink"/>
                  <w:rFonts w:ascii="Outfit;sans-serif" w:hAnsi="Outfit;sans-serif"/>
                  <w:color w:val="00002D"/>
                  <w:sz w:val="20"/>
                </w:rPr>
                <w:t>Quantitative and Qualitative Disclosures About Market Risk</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43</w:t>
            </w:r>
          </w:p>
        </w:tc>
      </w:tr>
      <w:tr>
        <w:trPr/>
        <w:tc>
          <w:tcPr>
            <w:tcW w:w="1178" w:type="dxa"/>
            <w:tcBorders/>
            <w:shd w:fill="FFFFFF" w:val="clear"/>
            <w:tcMar>
              <w:top w:w="0" w:type="dxa"/>
              <w:left w:w="0" w:type="dxa"/>
              <w:bottom w:w="0" w:type="dxa"/>
              <w:right w:w="0" w:type="dxa"/>
            </w:tcMar>
            <w:vAlign w:val="center"/>
          </w:tcPr>
          <w:p>
            <w:pPr>
              <w:pStyle w:val="TableContents"/>
              <w:bidi w:val="0"/>
              <w:spacing w:before="20" w:after="20"/>
              <w:jc w:val="left"/>
              <w:rPr>
                <w:rFonts w:ascii="Outfit;sans-serif" w:hAnsi="Outfit;sans-serif"/>
                <w:b/>
                <w:color w:val="00002D"/>
                <w:sz w:val="20"/>
              </w:rPr>
            </w:pPr>
            <w:r>
              <w:rPr>
                <w:rFonts w:ascii="Outfit;sans-serif" w:hAnsi="Outfit;sans-serif"/>
                <w:b/>
                <w:color w:val="00002D"/>
                <w:sz w:val="20"/>
              </w:rPr>
              <w:t>Item 4.</w:t>
            </w:r>
          </w:p>
        </w:tc>
        <w:tc>
          <w:tcPr>
            <w:tcW w:w="8575" w:type="dxa"/>
            <w:tcBorders/>
            <w:shd w:fill="FFFFFF" w:val="clear"/>
            <w:tcMar>
              <w:top w:w="0" w:type="dxa"/>
              <w:left w:w="0" w:type="dxa"/>
              <w:bottom w:w="0" w:type="dxa"/>
              <w:right w:w="0" w:type="dxa"/>
            </w:tcMar>
            <w:vAlign w:val="center"/>
          </w:tcPr>
          <w:p>
            <w:pPr>
              <w:pStyle w:val="TableContents"/>
              <w:bidi w:val="0"/>
              <w:spacing w:before="20" w:after="20"/>
              <w:jc w:val="left"/>
              <w:rPr/>
            </w:pPr>
            <w:hyperlink w:anchor="item_4_controls_procedures">
              <w:r>
                <w:rPr>
                  <w:rStyle w:val="InternetLink"/>
                  <w:rFonts w:ascii="Outfit;sans-serif" w:hAnsi="Outfit;sans-serif"/>
                  <w:color w:val="00002D"/>
                  <w:sz w:val="20"/>
                </w:rPr>
                <w:t>Controls and Procedures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44</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3465B0"/>
                <w:sz w:val="24"/>
              </w:rPr>
            </w:pPr>
            <w:r>
              <w:rPr>
                <w:rFonts w:ascii="Outfit;sans-serif" w:hAnsi="Outfit;sans-serif"/>
                <w:b/>
                <w:color w:val="3465B0"/>
                <w:sz w:val="24"/>
              </w:rPr>
              <w:t>PART II.</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Outfit;sans-serif" w:hAnsi="Outfit;sans-serif"/>
                  <w:b/>
                  <w:color w:val="3465B0"/>
                  <w:sz w:val="24"/>
                </w:rPr>
                <w:t>OTHER INFORMATION</w:t>
              </w:r>
            </w:hyperlink>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3465B0"/>
                <w:sz w:val="24"/>
              </w:rPr>
            </w:pPr>
            <w:r>
              <w:rPr>
                <w:rFonts w:ascii="Outfit;sans-serif" w:hAnsi="Outfit;sans-serif"/>
                <w:color w:val="3465B0"/>
                <w:sz w:val="24"/>
              </w:rPr>
              <w:t>45</w:t>
            </w:r>
          </w:p>
        </w:tc>
      </w:tr>
      <w:tr>
        <w:trPr/>
        <w:tc>
          <w:tcPr>
            <w:tcW w:w="1178"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8575"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8" w:space="0" w:color="3465B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_legal_proceedings">
              <w:r>
                <w:rPr>
                  <w:rStyle w:val="InternetLink"/>
                  <w:rFonts w:ascii="Outfit;sans-serif" w:hAnsi="Outfit;sans-serif"/>
                  <w:color w:val="00002D"/>
                  <w:sz w:val="20"/>
                </w:rPr>
                <w:t>Legal Proceedings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45</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1A.</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1a_risk_factors">
              <w:r>
                <w:rPr>
                  <w:rStyle w:val="InternetLink"/>
                  <w:rFonts w:ascii="Outfit;sans-serif" w:hAnsi="Outfit;sans-serif"/>
                  <w:color w:val="00002D"/>
                  <w:sz w:val="20"/>
                </w:rPr>
                <w:t>Risk Factors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45</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2.</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2_unreg_sale_securities">
              <w:r>
                <w:rPr>
                  <w:rStyle w:val="InternetLink"/>
                  <w:rFonts w:ascii="Outfit;sans-serif" w:hAnsi="Outfit;sans-serif"/>
                  <w:color w:val="00002D"/>
                  <w:sz w:val="20"/>
                </w:rPr>
                <w:t>Unregistered Sales of Equity Securities and Use of Proceeds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46</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5.</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5_other_information">
              <w:r>
                <w:rPr>
                  <w:rStyle w:val="InternetLink"/>
                  <w:rFonts w:ascii="Outfit;sans-serif" w:hAnsi="Outfit;sans-serif"/>
                  <w:color w:val="00002D"/>
                  <w:sz w:val="20"/>
                </w:rPr>
                <w:t>Other Information</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47</w:t>
            </w:r>
          </w:p>
        </w:tc>
      </w:tr>
      <w:tr>
        <w:trPr/>
        <w:tc>
          <w:tcPr>
            <w:tcW w:w="1178" w:type="dxa"/>
            <w:tcBorders>
              <w:bottom w:val="single" w:sz="4" w:space="0" w:color="DAE1EB"/>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2D"/>
                <w:sz w:val="20"/>
              </w:rPr>
            </w:pPr>
            <w:r>
              <w:rPr>
                <w:rFonts w:ascii="Outfit;sans-serif" w:hAnsi="Outfit;sans-serif"/>
                <w:b/>
                <w:color w:val="00002D"/>
                <w:sz w:val="20"/>
              </w:rPr>
              <w:t>Item 6.</w:t>
            </w:r>
          </w:p>
        </w:tc>
        <w:tc>
          <w:tcPr>
            <w:tcW w:w="8575"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left"/>
              <w:rPr/>
            </w:pPr>
            <w:hyperlink w:anchor="item_6_exhibits">
              <w:r>
                <w:rPr>
                  <w:rStyle w:val="InternetLink"/>
                  <w:rFonts w:ascii="Outfit;sans-serif" w:hAnsi="Outfit;sans-serif"/>
                  <w:color w:val="00002D"/>
                  <w:sz w:val="20"/>
                </w:rPr>
                <w:t>Exhibits</w:t>
              </w:r>
            </w:hyperlink>
          </w:p>
        </w:tc>
        <w:tc>
          <w:tcPr>
            <w:tcW w:w="452" w:type="dxa"/>
            <w:tcBorders>
              <w:bottom w:val="single" w:sz="4" w:space="0" w:color="DAE1EB"/>
            </w:tcBorders>
            <w:shd w:fill="FFFFFF" w:val="clear"/>
            <w:tcMar>
              <w:top w:w="0" w:type="dxa"/>
              <w:left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48</w:t>
            </w:r>
          </w:p>
        </w:tc>
      </w:tr>
      <w:tr>
        <w:trPr/>
        <w:tc>
          <w:tcPr>
            <w:tcW w:w="9753" w:type="dxa"/>
            <w:gridSpan w:val="2"/>
            <w:tcBorders/>
            <w:shd w:fill="FFFFFF" w:val="clear"/>
            <w:tcMar>
              <w:top w:w="0" w:type="dxa"/>
              <w:left w:w="0" w:type="dxa"/>
              <w:bottom w:w="0" w:type="dxa"/>
              <w:right w:w="0" w:type="dxa"/>
            </w:tcMar>
            <w:vAlign w:val="center"/>
          </w:tcPr>
          <w:p>
            <w:pPr>
              <w:pStyle w:val="TableContents"/>
              <w:bidi w:val="0"/>
              <w:spacing w:before="20" w:after="20"/>
              <w:jc w:val="left"/>
              <w:rPr/>
            </w:pPr>
            <w:hyperlink w:anchor="signatures">
              <w:r>
                <w:rPr>
                  <w:rStyle w:val="InternetLink"/>
                  <w:rFonts w:ascii="Outfit;sans-serif" w:hAnsi="Outfit;sans-serif"/>
                  <w:color w:val="00002D"/>
                  <w:sz w:val="20"/>
                </w:rPr>
                <w:t>Signatures</w:t>
              </w:r>
            </w:hyperlink>
          </w:p>
        </w:tc>
        <w:tc>
          <w:tcPr>
            <w:tcW w:w="452" w:type="dxa"/>
            <w:tcBorders/>
            <w:shd w:fill="FFFFFF" w:val="clear"/>
            <w:tcMar>
              <w:top w:w="0" w:type="dxa"/>
              <w:left w:w="0" w:type="dxa"/>
              <w:bottom w:w="0" w:type="dxa"/>
              <w:right w:w="0" w:type="dxa"/>
            </w:tcMar>
            <w:vAlign w:val="center"/>
          </w:tcPr>
          <w:p>
            <w:pPr>
              <w:pStyle w:val="TableContents"/>
              <w:bidi w:val="0"/>
              <w:spacing w:before="20" w:after="20"/>
              <w:jc w:val="right"/>
              <w:rPr>
                <w:rFonts w:ascii="Outfit;sans-serif" w:hAnsi="Outfit;sans-serif"/>
                <w:b/>
                <w:color w:val="00002D"/>
                <w:sz w:val="20"/>
              </w:rPr>
            </w:pPr>
            <w:r>
              <w:rPr>
                <w:rFonts w:ascii="Outfit;sans-serif" w:hAnsi="Outfit;sans-serif"/>
                <w:b/>
                <w:color w:val="00002D"/>
                <w:sz w:val="20"/>
              </w:rPr>
              <w:t>49</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Outfit;sans-serif" w:hAnsi="Outfit;sans-serif"/>
          <w:b/>
          <w:color w:val="3465B0"/>
          <w:sz w:val="40"/>
        </w:rPr>
      </w:pPr>
      <w:r>
        <w:rPr>
          <w:rFonts w:ascii="Outfit;sans-serif" w:hAnsi="Outfit;sans-serif"/>
          <w:b/>
          <w:color w:val="3465B0"/>
          <w:sz w:val="40"/>
        </w:rPr>
        <w:t>SPECIAL NOTE REGARDING FORWARD</w:t>
        <w:noBreakHyphen/>
        <w:t>LOOKING STATEMENTS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This Quarterly Report on Form 10-Q, or Quarterly Report, contains forward</w:t>
        <w:noBreakHyphen/>
        <w:t>looking statements within the meaning of the federal securities laws, which statements involve substantial risks and uncertainties. Forward</w:t>
        <w:noBreakHyphen/>
        <w:t>looking statements generally relate to future events or our future financial or operating performance. In some cases, you can identify forward</w:t>
        <w:noBreakHyphen/>
        <w:t>looking statements because they contain words such as “aim,” “anticipates,” “believes,” “could,” “estimates,” “expects,” “goal,” “intends,” “may,” “might,” “plans,” “potential,” “predicts,” “projects,” “seeks,” “should,” “target,” “will,” “would,” or similar expressions and the negatives of those terms. Forward-looking statements contained in this Quarterly Report include statements about: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future financial performance, including our expectations regarding our revenue, cost of revenue, gross profit or gross margin, operating expenses, ability to generate cash flow, and ability to achieve and maintain future profitability;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growth strategies and our ability to effectively manage any growth;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value proposition of our product offerings for dealers and consumers;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ability of our combined suite of offerings to increase a dealer’s return on investment, add scale to our marketplace network, create synergies for dealers, and become the marketplace for all steps of the vehicle acquisition and sale processes;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evolution to becoming a transaction-enabled platform where consumers can shop, buy, seek financing, and sell their cars and dealers can price, source, market, and sell their cars;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value proposition of the CarOffer, LLC, or CarOffer, online wholesale platform;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deliver quality leads at a high volume for our dealer customers and to provide the highest return on a dealer’s investment;</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for CarGurus Sell My Car (Instant Max Cash Offer and Top Dealer Offers) as well as our digital retail offerings and continued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acquire new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maintain and build our brand;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belief that our partnerships with automotive lending companies provide more transparency to car shoppers and deliver highly qualified car shopper leads to participating dealers;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the impact of competition in our industry and innovation by our competitors;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adapt to technological change and effectively enhance, innovate, and scale our platform and offerings;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realize benefits from our acquisitions and successfully implement the integration strategies in connection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impairments of the carrying value of our goodwill or other assets;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overcome challenges facing the automotive industry ecosystem, including inventory supply problems, global supply chain challenges, including disruptions to pre-existing supply chains and vendor relations, changes to trade policies or tariff regulations, financial market volatility and disruption, increased interest rates, inflationary concerns, and other macroeconomic issues, including uncertain or volatile economic conditions in the U.S. and abroad;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cash generation and the sufficiency of our cash to fund our operations;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expected returns on investments;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deferred tax assets;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changes in tax law and related guidance and regulations that may be implemented, including on tax rates;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our expenses generally, including general and administrative, product, technology, and development, and sales and marketing expenses;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domestic and global economic conditions affecting us or our customers;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expectations regarding the funding of our share repurchase program;</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revolving credit facility;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adequately protect our intellectual property;</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xml:space="preserve">our ability to attract, hire, and retain necessary qualified employees to expand our operations; </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accounting pronouncements;</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our ability to stay abreast of, and effectively comply with, new or modified laws and regulations that currently apply or become applicable to our business and our beliefs regarding our compliance therewith;</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impact of litigation and the potential impact of unasserted claims; and</w:t>
      </w:r>
    </w:p>
    <w:p>
      <w:pPr>
        <w:pStyle w:val="TextBody"/>
        <w:bidi w:val="0"/>
        <w:spacing w:before="120" w:after="283"/>
        <w:jc w:val="both"/>
        <w:rPr>
          <w:color w:val="00002D"/>
        </w:rPr>
      </w:pPr>
      <w:r>
        <w:rPr>
          <w:color w:val="00002D"/>
        </w:rPr>
        <w: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future trading prices of our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You should not rely upon forward</w:t>
        <w:noBreakHyphen/>
        <w:t>looking statements as predictions of future events. We have based the forward</w:t>
        <w:noBreakHyphen/>
        <w:t>looking statements contained in this Quarterly Report primarily on our current expectations and projections about future events and trends that we believe may affect our business, financial condition, operating results, and growth prospects. The outcome of the events described in these forward</w:t>
        <w:noBreakHyphen/>
        <w:t>looking statements is subject to risks, uncertainties, and other factors that are described in this Quarterly Report. We have included important risk factors in the cautionary statements included in our Annual Report on Form 10-K for the fiscal year ended December 31, 2024, filed with the U.S. Securities and Exchange Commission, or SEC, on February 20, 2025, or Annual Report, particularly those discussed in Part I, Item 1A, “Risk Factors,” in our Annual Report and in Part II, Item 1A, “Risk Factors,” of this Quarterly Report, that could cause actual results or events to differ materially from the forward-looking statements that we make. Moreover, we operate in a very competitive and rapidly changing environment. New risks and uncertainties emerge from time to time, and it is not possible for us to predict all risks and uncertainties that could have an impact on the forward</w:t>
        <w:noBreakHyphen/>
        <w:t>looking statements contained in this Quarterly Report. Further, our forward</w:t>
        <w:noBreakHyphen/>
        <w:t>looking statements do not reflect the potential impact of any future acquisitions, mergers, dispositions, or joint ventures in which we may be involved, or investments we may make. We cannot assure you that the results, events, and circumstances reflected in the forward</w:t>
        <w:noBreakHyphen/>
        <w:t>looking statements will be achieved or occur, and actual results, events, or circumstances could differ materially from those described in the forward</w:t>
        <w:noBreakHyphen/>
        <w:t>looking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forward</w:t>
        <w:noBreakHyphen/>
        <w:t>looking statements made in this Quarterly Report speak only as of the date of this Quarterly Report. We undertake no obligation to update any forward</w:t>
        <w:noBreakHyphen/>
        <w:t>looking statement made in this Quarterly Report to reflect events or circumstances after the date of this Quarterly Report or to reflect new information or the occurrence of unanticipated events, except as required by law.</w:t>
      </w:r>
    </w:p>
    <w:p>
      <w:pPr>
        <w:pStyle w:val="TextBody"/>
        <w:bidi w:val="0"/>
        <w:spacing w:before="240" w:after="283"/>
        <w:jc w:val="both"/>
        <w:rPr>
          <w:rFonts w:ascii="Outfit;sans-serif" w:hAnsi="Outfit;sans-serif"/>
          <w:b/>
          <w:color w:val="3465B0"/>
          <w:sz w:val="40"/>
        </w:rPr>
      </w:pPr>
      <w:r>
        <w:rPr>
          <w:rFonts w:ascii="Outfit;sans-serif" w:hAnsi="Outfit;sans-serif"/>
          <w:b/>
          <w:color w:val="3465B0"/>
          <w:sz w:val="40"/>
        </w:rPr>
        <w:t>NOTE REGARDING TRADEMARKS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CarGurus® and Autolist® are each a registered trademark of CarGurus, Inc., CarOffer® is a registered trademark of CarOffer, LLC, and PistonHeads® is a registered trademark of CarGurus Ireland Limited in the U.K. and the European Union. All other product names, trademarks, and registered trademarks are property of their respective owners. We have omitted the ® and  designations, as applicable, for the trademarks used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34"/>
        </w:rPr>
      </w:pPr>
      <w:bookmarkStart w:id="3" w:name="part_ifinancial_information"/>
      <w:bookmarkEnd w:id="3"/>
      <w:r>
        <w:rPr>
          <w:rFonts w:ascii="Outfit;sans-serif" w:hAnsi="Outfit;sans-serif"/>
          <w:b/>
          <w:color w:val="3465B0"/>
          <w:sz w:val="34"/>
        </w:rPr>
        <w:t>PART I—FINANCIAL INFORMATION</w:t>
      </w:r>
    </w:p>
    <w:p>
      <w:pPr>
        <w:pStyle w:val="TextBody"/>
        <w:bidi w:val="0"/>
        <w:spacing w:before="120" w:after="283"/>
        <w:jc w:val="left"/>
        <w:rPr>
          <w:rFonts w:ascii="Outfit;sans-serif" w:hAnsi="Outfit;sans-serif"/>
          <w:b/>
          <w:color w:val="3465B0"/>
          <w:sz w:val="34"/>
        </w:rPr>
      </w:pPr>
      <w:bookmarkStart w:id="4" w:name="item_1_financial_statements"/>
      <w:bookmarkEnd w:id="4"/>
      <w:r>
        <w:rPr>
          <w:rFonts w:ascii="Outfit;sans-serif" w:hAnsi="Outfit;sans-serif"/>
          <w:b/>
          <w:color w:val="3465B0"/>
          <w:sz w:val="34"/>
        </w:rPr>
        <w:t>Item 1. Financial Statements.</w:t>
      </w:r>
    </w:p>
    <w:p>
      <w:pPr>
        <w:pStyle w:val="TextBody"/>
        <w:bidi w:val="0"/>
        <w:jc w:val="center"/>
        <w:rPr>
          <w:rFonts w:ascii="Outfit;sans-serif" w:hAnsi="Outfit;sans-serif"/>
          <w:b/>
          <w:color w:val="00002D"/>
          <w:sz w:val="28"/>
        </w:rPr>
      </w:pPr>
      <w:r>
        <w:rPr>
          <w:rFonts w:ascii="Outfit;sans-serif" w:hAnsi="Outfit;sans-serif"/>
          <w:b/>
          <w:color w:val="00002D"/>
          <w:sz w:val="28"/>
        </w:rPr>
        <w:t>CarGurus, Inc.</w:t>
      </w:r>
    </w:p>
    <w:p>
      <w:pPr>
        <w:pStyle w:val="TextBody"/>
        <w:bidi w:val="0"/>
        <w:jc w:val="center"/>
        <w:rPr>
          <w:rFonts w:ascii="Times New Roman" w:hAnsi="Times New Roman"/>
          <w:sz w:val="20"/>
        </w:rPr>
      </w:pPr>
      <w:bookmarkStart w:id="5" w:name="unaudited_condensed_consolidated_balance"/>
      <w:bookmarkEnd w:id="5"/>
      <w:r>
        <w:rPr>
          <w:rFonts w:ascii="Outfit;sans-serif" w:hAnsi="Outfit;sans-serif"/>
          <w:b/>
          <w:color w:val="00002D"/>
          <w:sz w:val="28"/>
        </w:rPr>
        <w:t>Unaudited Condensed Consolidated Balance Sheets</w:t>
      </w:r>
      <w:r>
        <w:rPr>
          <w:rFonts w:ascii="Times New Roman" w:hAnsi="Times New Roman"/>
          <w:color w:val="00002D"/>
          <w:sz w:val="20"/>
        </w:rPr>
        <w:t xml:space="preserve"> </w:t>
      </w:r>
    </w:p>
    <w:p>
      <w:pPr>
        <w:pStyle w:val="TextBody"/>
        <w:bidi w:val="0"/>
        <w:jc w:val="center"/>
        <w:rPr>
          <w:rFonts w:ascii="Times New Roman" w:hAnsi="Times New Roman"/>
          <w:sz w:val="20"/>
        </w:rPr>
      </w:pPr>
      <w:r>
        <w:rPr>
          <w:rFonts w:ascii="Outfit;sans-serif" w:hAnsi="Outfit;sans-serif"/>
          <w:b/>
          <w:color w:val="00002D"/>
          <w:sz w:val="28"/>
        </w:rPr>
        <w:t>(in thousands, except share and per share data)</w:t>
      </w:r>
      <w:r>
        <w:rPr>
          <w:rFonts w:ascii="Times New Roman" w:hAnsi="Times New Roman"/>
          <w:color w:val="00002D"/>
          <w:sz w:val="20"/>
        </w:rPr>
        <w:t xml:space="preserve"> </w:t>
      </w:r>
    </w:p>
    <w:tbl>
      <w:tblPr>
        <w:tblW w:w="10205" w:type="dxa"/>
        <w:jc w:val="left"/>
        <w:tblInd w:w="0" w:type="dxa"/>
        <w:tblLayout w:type="fixed"/>
        <w:tblCellMar>
          <w:top w:w="28" w:type="dxa"/>
          <w:left w:w="28" w:type="dxa"/>
          <w:bottom w:w="28" w:type="dxa"/>
          <w:right w:w="28" w:type="dxa"/>
        </w:tblCellMar>
      </w:tblPr>
      <w:tblGrid>
        <w:gridCol w:w="6865"/>
        <w:gridCol w:w="146"/>
        <w:gridCol w:w="226"/>
        <w:gridCol w:w="886"/>
        <w:gridCol w:w="181"/>
        <w:gridCol w:w="146"/>
        <w:gridCol w:w="276"/>
        <w:gridCol w:w="1087"/>
        <w:gridCol w:w="392"/>
      </w:tblGrid>
      <w:tr>
        <w:trPr/>
        <w:tc>
          <w:tcPr>
            <w:tcW w:w="6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March 31,</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Cash and 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172,862</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304,193</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receivable, net of allowance for doubtful accounts of $808</w:t>
              <w:br/>
              <w:t>   and $788,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40,703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44,248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Inventory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810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338</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Prepaid expenses, prepaid income taxes,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21,107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27,868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13,640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12,523</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2,036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251,970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391,206</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132,383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130,010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Intangible assets,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11,318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11,767</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46,714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46,167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right-of-use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119,589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121,484</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110,050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106,672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contract costs, net of current portion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13,088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13,196</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4,034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689,115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824,536</w:t>
            </w:r>
          </w:p>
        </w:tc>
        <w:tc>
          <w:tcPr>
            <w:tcW w:w="39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8"/>
              </w:rPr>
            </w:pPr>
            <w:r>
              <w:rPr>
                <w:rFonts w:ascii="Outfit;sans-serif" w:hAnsi="Outfit;sans-serif"/>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29,891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26,410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32,240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35,975</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22,407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21,661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9,969</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9,005</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94,507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93,051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185,463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183,739</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Other non–current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7,080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6,031</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287,065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282,847</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18"/>
              </w:rPr>
              <w:t>Commitments and contingencies</w:t>
            </w:r>
            <w:r>
              <w:rPr>
                <w:rFonts w:ascii="Times New Roman" w:hAnsi="Times New Roman"/>
                <w:color w:val="000000"/>
                <w:sz w:val="20"/>
              </w:rPr>
              <w:t> </w:t>
            </w:r>
            <w:r>
              <w:rPr>
                <w:rFonts w:ascii="Outfit;sans-serif" w:hAnsi="Outfit;sans-serif"/>
                <w:color w:val="000000"/>
                <w:sz w:val="18"/>
              </w:rPr>
              <w:t>(Note 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Preferred stock, $0.001</w:t>
            </w:r>
            <w:r>
              <w:rPr>
                <w:rFonts w:ascii="Times New Roman" w:hAnsi="Times New Roman"/>
                <w:color w:val="000000"/>
                <w:sz w:val="20"/>
              </w:rPr>
              <w:t> </w:t>
            </w:r>
            <w:r>
              <w:rPr>
                <w:rFonts w:ascii="Outfit;sans-serif" w:hAnsi="Outfit;sans-serif"/>
                <w:color w:val="000000"/>
                <w:sz w:val="18"/>
              </w:rPr>
              <w:t>par value per share; 10,000,000</w:t>
            </w:r>
            <w:r>
              <w:rPr>
                <w:rFonts w:ascii="Times New Roman" w:hAnsi="Times New Roman"/>
                <w:color w:val="000000"/>
                <w:sz w:val="20"/>
              </w:rPr>
              <w:t> </w:t>
            </w:r>
            <w:r>
              <w:rPr>
                <w:rFonts w:ascii="Outfit;sans-serif" w:hAnsi="Outfit;sans-serif"/>
                <w:color w:val="000000"/>
                <w:sz w:val="18"/>
              </w:rPr>
              <w:t>shares authorized;</w:t>
              <w:br/>
              <w:t>   no</w:t>
            </w:r>
            <w:r>
              <w:rPr>
                <w:rFonts w:ascii="Times New Roman" w:hAnsi="Times New Roman"/>
                <w:color w:val="000000"/>
                <w:sz w:val="20"/>
              </w:rPr>
              <w:t> </w:t>
            </w:r>
            <w:r>
              <w:rPr>
                <w:rFonts w:ascii="Outfit;sans-serif" w:hAnsi="Outfit;sans-serif"/>
                <w:color w:val="000000"/>
                <w:sz w:val="18"/>
              </w:rPr>
              <w:t>shares issued and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A common stock, $0.001</w:t>
            </w:r>
            <w:r>
              <w:rPr>
                <w:rFonts w:ascii="Times New Roman" w:hAnsi="Times New Roman"/>
                <w:color w:val="000000"/>
                <w:sz w:val="20"/>
              </w:rPr>
              <w:t> </w:t>
            </w:r>
            <w:r>
              <w:rPr>
                <w:rFonts w:ascii="Outfit;sans-serif" w:hAnsi="Outfit;sans-serif"/>
                <w:color w:val="000000"/>
                <w:sz w:val="18"/>
              </w:rPr>
              <w:t>par value per share; 500,000,000</w:t>
            </w:r>
            <w:r>
              <w:rPr>
                <w:rFonts w:ascii="Times New Roman" w:hAnsi="Times New Roman"/>
                <w:color w:val="000000"/>
                <w:sz w:val="20"/>
              </w:rPr>
              <w:t> </w:t>
            </w:r>
            <w:r>
              <w:rPr>
                <w:rFonts w:ascii="Outfit;sans-serif" w:hAnsi="Outfit;sans-serif"/>
                <w:color w:val="000000"/>
                <w:sz w:val="18"/>
              </w:rPr>
              <w:t>shares</w:t>
              <w:br/>
              <w:t>   authorized; 84,334,642</w:t>
            </w:r>
            <w:r>
              <w:rPr>
                <w:rFonts w:ascii="Times New Roman" w:hAnsi="Times New Roman"/>
                <w:color w:val="000000"/>
                <w:sz w:val="20"/>
              </w:rPr>
              <w:t> </w:t>
            </w:r>
            <w:r>
              <w:rPr>
                <w:rFonts w:ascii="Outfit;sans-serif" w:hAnsi="Outfit;sans-serif"/>
                <w:color w:val="000000"/>
                <w:sz w:val="18"/>
              </w:rPr>
              <w:t>and 89,002,571</w:t>
            </w:r>
            <w:r>
              <w:rPr>
                <w:rFonts w:ascii="Times New Roman" w:hAnsi="Times New Roman"/>
                <w:color w:val="000000"/>
                <w:sz w:val="20"/>
              </w:rPr>
              <w:t> </w:t>
            </w:r>
            <w:r>
              <w:rPr>
                <w:rFonts w:ascii="Outfit;sans-serif" w:hAnsi="Outfit;sans-serif"/>
                <w:color w:val="000000"/>
                <w:sz w:val="18"/>
              </w:rPr>
              <w:t>shares issued and outstanding</w:t>
              <w:br/>
              <w:t>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18"/>
              </w:rPr>
              <w:t>Class B common stock, $0.001</w:t>
            </w:r>
            <w:r>
              <w:rPr>
                <w:rFonts w:ascii="Times New Roman" w:hAnsi="Times New Roman"/>
                <w:color w:val="000000"/>
                <w:sz w:val="20"/>
              </w:rPr>
              <w:t> </w:t>
            </w:r>
            <w:r>
              <w:rPr>
                <w:rFonts w:ascii="Outfit;sans-serif" w:hAnsi="Outfit;sans-serif"/>
                <w:color w:val="000000"/>
                <w:sz w:val="18"/>
              </w:rPr>
              <w:t>par value per share; 100,000,000</w:t>
            </w:r>
            <w:r>
              <w:rPr>
                <w:rFonts w:ascii="Times New Roman" w:hAnsi="Times New Roman"/>
                <w:color w:val="000000"/>
                <w:sz w:val="20"/>
              </w:rPr>
              <w:t> </w:t>
            </w:r>
            <w:r>
              <w:rPr>
                <w:rFonts w:ascii="Outfit;sans-serif" w:hAnsi="Outfit;sans-serif"/>
                <w:color w:val="000000"/>
                <w:sz w:val="18"/>
              </w:rPr>
              <w:t>shares</w:t>
              <w:br/>
              <w:t>   authorized; 14,216,250</w:t>
            </w:r>
            <w:r>
              <w:rPr>
                <w:rFonts w:ascii="Times New Roman" w:hAnsi="Times New Roman"/>
                <w:color w:val="000000"/>
                <w:sz w:val="20"/>
              </w:rPr>
              <w:t> </w:t>
            </w:r>
            <w:r>
              <w:rPr>
                <w:rFonts w:ascii="Outfit;sans-serif" w:hAnsi="Outfit;sans-serif"/>
                <w:color w:val="000000"/>
                <w:sz w:val="18"/>
              </w:rPr>
              <w:t>and 14,986,745</w:t>
            </w:r>
            <w:r>
              <w:rPr>
                <w:rFonts w:ascii="Times New Roman" w:hAnsi="Times New Roman"/>
                <w:color w:val="000000"/>
                <w:sz w:val="20"/>
              </w:rPr>
              <w:t> </w:t>
            </w:r>
            <w:r>
              <w:rPr>
                <w:rFonts w:ascii="Outfit;sans-serif" w:hAnsi="Outfit;sans-serif"/>
                <w:color w:val="000000"/>
                <w:sz w:val="18"/>
              </w:rPr>
              <w:t>shares issued and outstanding</w:t>
              <w:br/>
              <w:t>   at March 31, 2025 and December 31, 2024, respectively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15</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6,775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169,013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Retained earnings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396,486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375,119</w:t>
            </w:r>
          </w:p>
        </w:tc>
        <w:tc>
          <w:tcPr>
            <w:tcW w:w="39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18"/>
              </w:rPr>
            </w:pPr>
            <w:r>
              <w:rPr>
                <w:rFonts w:ascii="Outfit;sans-serif" w:hAnsi="Outfit;sans-serif"/>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(1,309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(2,547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r>
      <w:tr>
        <w:trPr/>
        <w:tc>
          <w:tcPr>
            <w:tcW w:w="686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stockholders’ equity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402,050</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541,689</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86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689,115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8"/>
              </w:rPr>
            </w:pPr>
            <w:r>
              <w:rPr>
                <w:rFonts w:ascii="Outfit;sans-serif" w:hAnsi="Outfit;sans-serif"/>
                <w:color w:val="000000"/>
                <w:sz w:val="18"/>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8"/>
              </w:rPr>
            </w:pPr>
            <w:r>
              <w:rPr>
                <w:rFonts w:ascii="Outfit;sans-serif" w:hAnsi="Outfit;sans-serif"/>
                <w:color w:val="000000"/>
                <w:sz w:val="18"/>
              </w:rPr>
              <w:t>824,536</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Outfit;sans-serif" w:hAnsi="Outfit;sans-serif"/>
          <w:b/>
          <w:color w:val="00002D"/>
          <w:sz w:val="32"/>
        </w:rPr>
        <w:t>CarGurus, Inc.</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bookmarkStart w:id="6" w:name="consolidated_statements_operations"/>
      <w:bookmarkEnd w:id="6"/>
      <w:r>
        <w:rPr>
          <w:rFonts w:ascii="Outfit;sans-serif" w:hAnsi="Outfit;sans-serif"/>
          <w:b/>
          <w:color w:val="00002D"/>
          <w:sz w:val="32"/>
        </w:rPr>
        <w:t>Unaudited Condensed Consolidated Income Statements</w:t>
      </w:r>
    </w:p>
    <w:p>
      <w:pPr>
        <w:pStyle w:val="TextBody"/>
        <w:bidi w:val="0"/>
        <w:jc w:val="center"/>
        <w:rPr>
          <w:rFonts w:ascii="Times New Roman" w:hAnsi="Times New Roman"/>
          <w:sz w:val="20"/>
        </w:rPr>
      </w:pPr>
      <w:r>
        <w:rPr>
          <w:rFonts w:ascii="Outfit;sans-serif" w:hAnsi="Outfit;sans-serif"/>
          <w:b/>
          <w:color w:val="00002D"/>
          <w:sz w:val="32"/>
        </w:rPr>
        <w:t>(in thousands, except share and per share data)</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142"/>
        <w:gridCol w:w="146"/>
        <w:gridCol w:w="226"/>
        <w:gridCol w:w="1306"/>
        <w:gridCol w:w="181"/>
        <w:gridCol w:w="146"/>
        <w:gridCol w:w="226"/>
        <w:gridCol w:w="1306"/>
        <w:gridCol w:w="526"/>
      </w:tblGrid>
      <w:tr>
        <w:trPr/>
        <w:tc>
          <w:tcPr>
            <w:tcW w:w="6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212,235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187,219</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7,747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16,125</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12,452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Outfit;sans-serif" w:hAnsi="Outfit;sans-serif"/>
                <w:color w:val="000000"/>
                <w:sz w:val="20"/>
              </w:rPr>
              <w:t xml:space="preserve">Cost of revenue </w:t>
            </w:r>
            <w:r>
              <w:rPr>
                <w:rFonts w:ascii="Outfit;sans-serif" w:hAnsi="Outfit;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14,248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14,385</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14,224</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5,033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12,226</w:t>
            </w:r>
          </w:p>
        </w:tc>
        <w:tc>
          <w:tcPr>
            <w:tcW w:w="5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25,451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40,835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199,707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174,961</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86,716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82,274</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35,545</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26,780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28,066</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2,792</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153,952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148,677</w:t>
            </w:r>
          </w:p>
        </w:tc>
        <w:tc>
          <w:tcPr>
            <w:tcW w:w="5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45,755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26,284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3,906</w:t>
            </w:r>
          </w:p>
        </w:tc>
        <w:tc>
          <w:tcPr>
            <w:tcW w:w="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(505</w:t>
            </w:r>
          </w:p>
        </w:tc>
        <w:tc>
          <w:tcPr>
            <w:tcW w:w="5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48,551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29,685</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8,384</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39,045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21,301</w:t>
            </w:r>
          </w:p>
        </w:tc>
        <w:tc>
          <w:tcPr>
            <w:tcW w:w="5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per share attributable to common stockholders: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0.20</w:t>
            </w:r>
          </w:p>
        </w:tc>
        <w:tc>
          <w:tcPr>
            <w:tcW w:w="5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0.20</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in </w:t>
              <w:br/>
              <w:t>   computing net income per share attributable to common stockholders: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103,094,690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107,174,812</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105,068,046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108,632,159</w:t>
            </w:r>
          </w:p>
        </w:tc>
        <w:tc>
          <w:tcPr>
            <w:tcW w:w="5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 w:after="283"/>
        <w:jc w:val="both"/>
        <w:rPr>
          <w:rFonts w:ascii="Outfit" w:hAnsi="Outfit"/>
          <w:color w:val="00002D"/>
          <w:sz w:val="16"/>
        </w:rPr>
      </w:pPr>
      <w:r>
        <w:rPr>
          <w:rFonts w:ascii="Outfit" w:hAnsi="Outfit"/>
          <w:color w:val="00002D"/>
          <w:sz w:val="16"/>
        </w:rPr>
        <w:t>(1)</w:t>
      </w:r>
    </w:p>
    <w:p>
      <w:pPr>
        <w:pStyle w:val="TextBody"/>
        <w:bidi w:val="0"/>
        <w:spacing w:before="12" w:after="283"/>
        <w:jc w:val="both"/>
        <w:rPr/>
      </w:pPr>
      <w:r>
        <w:rPr>
          <w:rFonts w:ascii="Outfit;sans-serif" w:hAnsi="Outfit;sans-serif"/>
          <w:color w:val="00002D"/>
          <w:sz w:val="16"/>
        </w:rPr>
        <w:t>Includes depreciation and amortization expense for the three months ended March 31, 2025 and 2024 of $2,348</w:t>
      </w:r>
      <w:r>
        <w:rPr>
          <w:color w:val="00002D"/>
        </w:rPr>
        <w:t xml:space="preserve"> </w:t>
      </w:r>
      <w:r>
        <w:rPr>
          <w:rFonts w:ascii="Outfit;sans-serif" w:hAnsi="Outfit;sans-serif"/>
          <w:color w:val="00002D"/>
          <w:sz w:val="16"/>
        </w:rPr>
        <w:t>and $4,689, respectively.</w:t>
      </w:r>
    </w:p>
    <w:p>
      <w:pPr>
        <w:pStyle w:val="TextBody"/>
        <w:bidi w:val="0"/>
        <w:spacing w:before="12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7" w:name="consolidated_statements_comprehensive_lo"/>
      <w:bookmarkEnd w:id="7"/>
      <w:r>
        <w:rPr>
          <w:rFonts w:ascii="Outfit;sans-serif" w:hAnsi="Outfit;sans-serif"/>
          <w:b/>
          <w:color w:val="00002D"/>
          <w:sz w:val="32"/>
        </w:rPr>
        <w:t>Unaudited Condensed Consolidated Statements of Comprehensive Income</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tbl>
      <w:tblPr>
        <w:tblW w:w="7034" w:type="dxa"/>
        <w:jc w:val="left"/>
        <w:tblInd w:w="0" w:type="dxa"/>
        <w:tblLayout w:type="fixed"/>
        <w:tblCellMar>
          <w:top w:w="28" w:type="dxa"/>
          <w:left w:w="28" w:type="dxa"/>
          <w:bottom w:w="28" w:type="dxa"/>
          <w:right w:w="28" w:type="dxa"/>
        </w:tblCellMar>
      </w:tblPr>
      <w:tblGrid>
        <w:gridCol w:w="4221"/>
        <w:gridCol w:w="146"/>
        <w:gridCol w:w="226"/>
        <w:gridCol w:w="766"/>
        <w:gridCol w:w="146"/>
        <w:gridCol w:w="146"/>
        <w:gridCol w:w="226"/>
        <w:gridCol w:w="766"/>
        <w:gridCol w:w="39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39,045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21,301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2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1,238</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(599</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20,702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Outfit;sans-serif" w:hAnsi="Outfit;sans-serif"/>
          <w:color w:val="00002D"/>
          <w:sz w:val="18"/>
        </w:rPr>
        <w:t>The accompanying notes are an integral part of these Unaudited Condensed Consolidated Financial Statements.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8" w:name="stockholders_equity"/>
      <w:bookmarkEnd w:id="8"/>
      <w:r>
        <w:rPr>
          <w:rFonts w:ascii="Outfit;sans-serif" w:hAnsi="Outfit;sans-serif"/>
          <w:b/>
          <w:color w:val="00002D"/>
          <w:sz w:val="32"/>
        </w:rPr>
        <w:t>Unaudited Condensed Consolidated Statements of</w:t>
      </w:r>
      <w:r>
        <w:rPr>
          <w:rFonts w:ascii="Times New Roman" w:hAnsi="Times New Roman"/>
          <w:color w:val="00002D"/>
          <w:sz w:val="20"/>
        </w:rPr>
        <w:t xml:space="preserve"> </w:t>
      </w:r>
      <w:r>
        <w:rPr>
          <w:rFonts w:ascii="Outfit;sans-serif" w:hAnsi="Outfit;sans-serif"/>
          <w:b/>
          <w:color w:val="00002D"/>
          <w:sz w:val="32"/>
        </w:rPr>
        <w:t>Stockholders’ Equity</w:t>
      </w:r>
      <w:r>
        <w:rPr>
          <w:rFonts w:ascii="Times New Roman" w:hAnsi="Times New Roman"/>
          <w:color w:val="00002D"/>
          <w:sz w:val="20"/>
        </w:rPr>
        <w:t xml:space="preserve"> </w:t>
      </w:r>
    </w:p>
    <w:p>
      <w:pPr>
        <w:pStyle w:val="TextBody"/>
        <w:bidi w:val="0"/>
        <w:jc w:val="center"/>
        <w:rPr>
          <w:rFonts w:ascii="Outfit;sans-serif" w:hAnsi="Outfit;sans-serif"/>
          <w:b/>
          <w:color w:val="00002D"/>
          <w:sz w:val="32"/>
        </w:rPr>
      </w:pPr>
      <w:r>
        <w:rPr>
          <w:rFonts w:ascii="Outfit;sans-serif" w:hAnsi="Outfit;sans-serif"/>
          <w:b/>
          <w:color w:val="00002D"/>
          <w:sz w:val="32"/>
        </w:rPr>
        <w:t>(in thousands, except share data)</w:t>
      </w:r>
    </w:p>
    <w:p>
      <w:pPr>
        <w:pStyle w:val="TextBody"/>
        <w:bidi w:val="0"/>
        <w:jc w:val="center"/>
        <w:rPr/>
      </w:pPr>
      <w:r>
        <w:rPr/>
        <w:t> </w:t>
      </w:r>
    </w:p>
    <w:tbl>
      <w:tblPr>
        <w:tblW w:w="11710" w:type="dxa"/>
        <w:jc w:val="left"/>
        <w:tblInd w:w="0" w:type="dxa"/>
        <w:tblLayout w:type="fixed"/>
        <w:tblCellMar>
          <w:top w:w="28" w:type="dxa"/>
          <w:left w:w="28" w:type="dxa"/>
          <w:bottom w:w="28" w:type="dxa"/>
          <w:right w:w="28" w:type="dxa"/>
        </w:tblCellMar>
      </w:tblPr>
      <w:tblGrid>
        <w:gridCol w:w="1306"/>
        <w:gridCol w:w="146"/>
        <w:gridCol w:w="146"/>
        <w:gridCol w:w="1036"/>
        <w:gridCol w:w="166"/>
        <w:gridCol w:w="146"/>
        <w:gridCol w:w="239"/>
        <w:gridCol w:w="392"/>
        <w:gridCol w:w="166"/>
        <w:gridCol w:w="146"/>
        <w:gridCol w:w="146"/>
        <w:gridCol w:w="1036"/>
        <w:gridCol w:w="166"/>
        <w:gridCol w:w="146"/>
        <w:gridCol w:w="239"/>
        <w:gridCol w:w="392"/>
        <w:gridCol w:w="166"/>
        <w:gridCol w:w="146"/>
        <w:gridCol w:w="211"/>
        <w:gridCol w:w="841"/>
        <w:gridCol w:w="166"/>
        <w:gridCol w:w="146"/>
        <w:gridCol w:w="211"/>
        <w:gridCol w:w="781"/>
        <w:gridCol w:w="166"/>
        <w:gridCol w:w="146"/>
        <w:gridCol w:w="285"/>
        <w:gridCol w:w="856"/>
        <w:gridCol w:w="166"/>
        <w:gridCol w:w="146"/>
        <w:gridCol w:w="211"/>
        <w:gridCol w:w="841"/>
        <w:gridCol w:w="21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Class A</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Class B</w:t>
              <w:b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2"/>
              </w:rPr>
            </w:pPr>
            <w:r>
              <w:rPr>
                <w:rFonts w:ascii="Outfit;sans-serif" w:hAnsi="Outfit;sans-serif"/>
                <w:b/>
                <w:color w:val="000000"/>
                <w:sz w:val="12"/>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December 31, 2024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89,002,571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14,986,745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169,013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375,119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5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(2,547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541,689</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14,538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14,538</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715,951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(5,919,435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(168,183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(17,678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(185,867</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Conversion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(770,495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1,238</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1,238</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84,334,642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14,216,250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396,486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402,050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92,175,243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15,999,173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263,498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354,147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616,852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21,301</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17,649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36,455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Issuance of common stock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615,383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(213,042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(5,097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(5,097</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(3,538,194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(81,755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Foreign currency translation adjustment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(599</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89,075,845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15,999,173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194,309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375,448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568,362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Outfit;sans-serif" w:hAnsi="Outfit;sans-serif"/>
          <w:b/>
          <w:color w:val="00002D"/>
          <w:sz w:val="32"/>
        </w:rPr>
      </w:pPr>
      <w:bookmarkStart w:id="9" w:name="consolidatedstatementsofcashflows"/>
      <w:bookmarkEnd w:id="9"/>
      <w:r>
        <w:rPr>
          <w:rFonts w:ascii="Outfit;sans-serif" w:hAnsi="Outfit;sans-serif"/>
          <w:b/>
          <w:color w:val="00002D"/>
          <w:sz w:val="32"/>
        </w:rPr>
        <w:t>Unaudited Condensed Consolidated Statements of Cash Flows</w:t>
      </w:r>
    </w:p>
    <w:p>
      <w:pPr>
        <w:pStyle w:val="TextBody"/>
        <w:bidi w:val="0"/>
        <w:jc w:val="center"/>
        <w:rPr>
          <w:rFonts w:ascii="Outfit;sans-serif" w:hAnsi="Outfit;sans-serif"/>
          <w:b/>
          <w:color w:val="00002D"/>
          <w:sz w:val="32"/>
        </w:rPr>
      </w:pPr>
      <w:r>
        <w:rPr>
          <w:rFonts w:ascii="Outfit;sans-serif" w:hAnsi="Outfit;sans-serif"/>
          <w:b/>
          <w:color w:val="00002D"/>
          <w:sz w:val="32"/>
        </w:rPr>
        <w:t>(in thousands)</w:t>
      </w:r>
    </w:p>
    <w:p>
      <w:pPr>
        <w:pStyle w:val="TextBody"/>
        <w:bidi w:val="0"/>
        <w:jc w:val="center"/>
        <w:rPr/>
      </w:pPr>
      <w:r>
        <w:rPr/>
        <w:t> </w:t>
      </w:r>
    </w:p>
    <w:p>
      <w:pPr>
        <w:pStyle w:val="TextBody"/>
        <w:bidi w:val="0"/>
        <w:jc w:val="both"/>
        <w:rPr/>
      </w:pPr>
      <w:r>
        <w:rPr/>
        <w:t> </w:t>
      </w:r>
    </w:p>
    <w:tbl>
      <w:tblPr>
        <w:tblW w:w="10044" w:type="dxa"/>
        <w:jc w:val="left"/>
        <w:tblInd w:w="0" w:type="dxa"/>
        <w:tblLayout w:type="fixed"/>
        <w:tblCellMar>
          <w:top w:w="28" w:type="dxa"/>
          <w:left w:w="28" w:type="dxa"/>
          <w:bottom w:w="28" w:type="dxa"/>
          <w:right w:w="28" w:type="dxa"/>
        </w:tblCellMar>
      </w:tblPr>
      <w:tblGrid>
        <w:gridCol w:w="7171"/>
        <w:gridCol w:w="146"/>
        <w:gridCol w:w="211"/>
        <w:gridCol w:w="841"/>
        <w:gridCol w:w="166"/>
        <w:gridCol w:w="146"/>
        <w:gridCol w:w="211"/>
        <w:gridCol w:w="781"/>
        <w:gridCol w:w="371"/>
      </w:tblGrid>
      <w:tr>
        <w:trPr/>
        <w:tc>
          <w:tcPr>
            <w:tcW w:w="7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21,301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Adjustments to reconcile net income to 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7,481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Currency (gain) loss on foreign denominated transactions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(165</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384</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(9,052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Provision for doubtful accounts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424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290</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15,822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financing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129</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129</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Amortization of 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3,258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Changes in operating assets and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(4,182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Inventory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(353</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(319</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Prepaid expenses, prepaid income taxes,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5,974</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contract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(4,744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(3,326</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707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Accrued expenses, accrued income taxes, and other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(5,592</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681</w:t>
            </w:r>
          </w:p>
        </w:tc>
        <w:tc>
          <w:tcPr>
            <w:tcW w:w="3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ind w:left="0" w:right="0" w:firstLine="160"/>
              <w:jc w:val="left"/>
              <w:rPr>
                <w:rFonts w:ascii="Outfit;sans-serif" w:hAnsi="Outfit;sans-serif"/>
                <w:color w:val="000000"/>
                <w:sz w:val="16"/>
              </w:rPr>
            </w:pPr>
            <w:r>
              <w:rPr>
                <w:rFonts w:ascii="Outfit;sans-serif" w:hAnsi="Outfit;sans-serif"/>
                <w:color w:val="000000"/>
                <w:sz w:val="16"/>
              </w:rPr>
              <w:t>Lease obligations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4,583</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12,696</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67,879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51,964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(28,665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Capitalization of website development costs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(5,391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(5,465</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(494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Sale of short-term investments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21,218</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Advance payments to customers, net of collections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investing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(7,631</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(13,147</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Proceeds from issuance of common stock upon exercise of 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394</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withholding taxes on net share settlements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(5,115</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(182,828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(77,442</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Payment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Change in gross advance payments received from third-party transaction processor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(38</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(474</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(191,477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(83,038</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Impact of foreign currency on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710</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(577</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(130,519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(44,798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beginning of period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306,229</w:t>
            </w:r>
          </w:p>
        </w:tc>
        <w:tc>
          <w:tcPr>
            <w:tcW w:w="1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293,926</w:t>
            </w:r>
          </w:p>
        </w:tc>
        <w:tc>
          <w:tcPr>
            <w:tcW w:w="37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175,710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249,128</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disclosure of cash flow information: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1,132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operating lease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2,558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4,788</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143</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Supplemental noncash disclosure of cash flow information: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purchases of property and equipment and capitalized hosting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16,329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Capitalized stock-based compensation expense in website development and</w:t>
              <w:br/>
              <w:t>   internal-use software costs and hosting arrangements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1,638</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1,827</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withholding taxes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119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repurchases of common stock</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1,451</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3,658</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Unpaid excise tax on 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2,239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Obtaining a right-of-use asset in exchange for an operating lease liability</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217</w:t>
            </w:r>
          </w:p>
        </w:tc>
        <w:tc>
          <w:tcPr>
            <w:tcW w:w="16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c>
          <w:tcPr>
            <w:tcW w:w="78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16"/>
              </w:rPr>
            </w:pPr>
            <w:r>
              <w:rPr>
                <w:rFonts w:ascii="Outfit;sans-serif" w:hAnsi="Outfit;sans-serif"/>
                <w:color w:val="000000"/>
                <w:sz w:val="16"/>
              </w:rPr>
              <w:t>(3,536</w:t>
            </w:r>
          </w:p>
        </w:tc>
        <w:tc>
          <w:tcPr>
            <w:tcW w:w="3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16"/>
              </w:rPr>
            </w:pPr>
            <w:r>
              <w:rPr>
                <w:rFonts w:ascii="Outfit;sans-serif" w:hAnsi="Outfit;sans-serif"/>
                <w:color w:val="000000"/>
                <w:sz w:val="16"/>
              </w:rPr>
              <w:t>)</w:t>
            </w:r>
          </w:p>
        </w:tc>
      </w:tr>
    </w:tbl>
    <w:p>
      <w:pPr>
        <w:pStyle w:val="TextBody"/>
        <w:bidi w:val="0"/>
        <w:spacing w:before="200" w:after="283"/>
        <w:jc w:val="center"/>
        <w:rPr>
          <w:rFonts w:ascii="Outfit;sans-serif" w:hAnsi="Outfit;sans-serif"/>
          <w:color w:val="00002D"/>
          <w:sz w:val="18"/>
        </w:rPr>
      </w:pPr>
      <w:r>
        <w:rPr>
          <w:rFonts w:ascii="Outfit;sans-serif" w:hAnsi="Outfit;sans-serif"/>
          <w:color w:val="00002D"/>
          <w:sz w:val="18"/>
        </w:rPr>
        <w:t>The accompanying notes are an integral part of these Unaudited Condensed Consolidated Financial Statements.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r>
        <w:rPr>
          <w:rFonts w:ascii="Outfit;sans-serif" w:hAnsi="Outfit;sans-serif"/>
          <w:b/>
          <w:color w:val="00002D"/>
          <w:sz w:val="32"/>
        </w:rPr>
        <w:t>CarGurus, Inc.</w:t>
      </w:r>
    </w:p>
    <w:p>
      <w:pPr>
        <w:pStyle w:val="TextBody"/>
        <w:bidi w:val="0"/>
        <w:jc w:val="center"/>
        <w:rPr>
          <w:rFonts w:ascii="Times New Roman" w:hAnsi="Times New Roman"/>
          <w:sz w:val="20"/>
        </w:rPr>
      </w:pPr>
      <w:bookmarkStart w:id="10" w:name="notes_to_consolidated_financial_statemen"/>
      <w:bookmarkEnd w:id="10"/>
      <w:r>
        <w:rPr>
          <w:rFonts w:ascii="Outfit;sans-serif" w:hAnsi="Outfit;sans-serif"/>
          <w:b/>
          <w:color w:val="00002D"/>
          <w:sz w:val="32"/>
        </w:rPr>
        <w:t>Notes to Unaudited Condensed Consolidated Financial Statements</w:t>
      </w:r>
      <w:r>
        <w:rPr>
          <w:rFonts w:ascii="Times New Roman" w:hAnsi="Times New Roman"/>
          <w:color w:val="00002D"/>
          <w:sz w:val="20"/>
        </w:rPr>
        <w:t xml:space="preserve"> </w:t>
      </w:r>
    </w:p>
    <w:p>
      <w:pPr>
        <w:pStyle w:val="TextBody"/>
        <w:bidi w:val="0"/>
        <w:jc w:val="center"/>
        <w:rPr>
          <w:rFonts w:ascii="Times New Roman" w:hAnsi="Times New Roman"/>
          <w:sz w:val="20"/>
        </w:rPr>
      </w:pPr>
      <w:r>
        <w:rPr>
          <w:rFonts w:ascii="Outfit;sans-serif" w:hAnsi="Outfit;sans-serif"/>
          <w:b/>
          <w:color w:val="00002D"/>
          <w:sz w:val="32"/>
        </w:rPr>
        <w:t>(dollars in thousands, except share and per share data, unless otherwise noted)</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1. Organization and Business Description</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CarGurus, Inc. (the “Company”) is a multinational, online automotive platform for buying and selling vehicles that is building upon its industry-leading listings marketplace with both digital retail solutions and the CarOffer, LLC (“CarOffer”) online wholesale platform. The CarGurus platform gives consumers the confidence to purchase and/or sell a vehicle either online or in person, and it gives dealerships the power to accurately price, effectively market, instantly acquire, and quickly sell vehicles, all with a nationwide reach. The Company uses proprietary technology, search algorithms, and data analytics to bring trust, transparency, and competitive pricing to the automotive shopping experience.</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operates principally in the U.S., where it also operates the Autolist online marketplace and the CarOffer online wholesale platform as independent brands. The Company also operates online marketplaces under the CarGurus brand in Canada and the U.K. In the U.K. it also operates the PistonHeads online marketplace as an independent brand.</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subsidiaries in the U.S., Canada, Ireland, and the U.K. and it has two</w:t>
      </w:r>
      <w:r>
        <w:rPr>
          <w:rFonts w:ascii="Times New Roman" w:hAnsi="Times New Roman"/>
          <w:color w:val="00002D"/>
          <w:sz w:val="20"/>
        </w:rPr>
        <w:t xml:space="preserve"> </w:t>
      </w:r>
      <w:r>
        <w:rPr>
          <w:rFonts w:ascii="Outfit;sans-serif" w:hAnsi="Outfit;sans-serif"/>
          <w:color w:val="00002D"/>
          <w:sz w:val="20"/>
        </w:rPr>
        <w:t>reportable segments, U.S. Marketplace and Digital Wholesale. See Note 12 of the Unaudited Condensed Consolidated Financial Statements (as defined in Note 2 of the Unaudited Condensed Consolidated Financial Statements) for further segment reporting and geographic information.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2. Summary of Significant Accounting Policies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Basis of Presentation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accompanying interim condensed consolidated financial statements are unaudited (the “Unaudited Condensed Consolidated Financial Statements”). The Unaudited Condensed Consolidated Financial Statements and related disclosures have been prepared in conformity with accounting principles generally accepted in the U.S. (“GAAP”). Any reference in these notes to applicable guidance is meant to refer to GAAP as found in the Accounting Standards Codification (“ASC”) and Accounting Standards Update (“ASU”) of the Financial Accounting Standards Board (“FASB”).</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have also been prepared pursuant to the rules and regulations of the U.S. Securities and Exchange Commission (“SEC”). Accordingly, certain information and footnote disclosures normally included in financial statements prepared in accordance with GAAP have been condensed or omitted pursuant to such rules and regulations. The Unaudited Condensed Consolidated Financial Statements reflect all adjustments, consisting of only normal recurring adjustments, necessary for the fair presentation of the Company’s financial statements for interim periods. These interim period results are not necessarily indicative of the results to be expected for any other interim period or the full year.</w:t>
      </w:r>
    </w:p>
    <w:p>
      <w:pPr>
        <w:pStyle w:val="TextBody"/>
        <w:bidi w:val="0"/>
        <w:spacing w:before="240" w:after="283"/>
        <w:jc w:val="both"/>
        <w:rPr>
          <w:rFonts w:ascii="Times New Roman" w:hAnsi="Times New Roman"/>
          <w:sz w:val="20"/>
        </w:rPr>
      </w:pPr>
      <w:r>
        <w:rPr>
          <w:rFonts w:ascii="Outfit;sans-serif" w:hAnsi="Outfit;sans-serif"/>
          <w:color w:val="00002D"/>
          <w:sz w:val="20"/>
        </w:rPr>
        <w:t>The Unaudited Condensed Consolidated Financial Statements should be read in conjunction with the Company’s audited consolidated financial statements and the notes thereto included in the Company’s Annual Report on Form 10-K for the fiscal year ended December 31, 2024, filed with the SEC on February 20, 2025 (the “Annual Report”).</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Principles of Consolidation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include the accounts of the Company and its subsidiaries. All intercompany balances and transactions have been eliminated in consolidation.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Subsequent Event Considerations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considers events or transactions that occur after the balance sheet date but prior to the issuance of the Unaudited Condensed Consolidated Financial Statements to provide additional evidence for certain estimates or to identify matters that require additional disclosure. The Company has evaluated all subsequent events and determined that there are no material recognized or unrecognized subsequent events requiring disclosure.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Use of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Although the Company regularly assesses these estimates, actual results could differ materially from these estimates.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determination of sales allowance and variable consideration in the Company’s revenue recognition, the impairment and useful lives of long-lived assets, the capitalization and useful lives of product, technology, and development costs for website development, internal-use software, and hosting arrangements, and the valuation and recoverability of intangible assets and goodwill. Accordingly, the Company considers these to be its critical accounting estimates, and believes that of the Company’s significant accounting policies, these involve the greatest degree of judgment and complexity.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Due to the partial impairment of the CarOffer reporting unit goodwill and other long-lived assets during the year ended December 31, 2024, in which the CarOffer reporting unit was reduced to its fair value, there remains a risk for future impairment charges if projected future operating results further decline, including as a result of economic conditions or operational challenges, which could be material and negatively affect its operations.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Concentration of Credit Risk</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no significant off-balance sheet risk, such as foreign exchange contracts, option contracts, or other foreign hedging arrangements.</w:t>
      </w:r>
      <w:r>
        <w:rPr>
          <w:rFonts w:ascii="Times New Roman" w:hAnsi="Times New Roman"/>
          <w:color w:val="00002D"/>
          <w:sz w:val="20"/>
        </w:rPr>
        <w:t xml:space="preserve"> </w:t>
      </w:r>
      <w:r>
        <w:rPr>
          <w:rFonts w:ascii="Outfit;sans-serif" w:hAnsi="Outfit;sans-serif"/>
          <w:color w:val="00002D"/>
          <w:sz w:val="20"/>
        </w:rPr>
        <w:t>Financial instruments that potentially expose the Company to concentrations of credit risk consist primarily of cash, cash equivalents, trade accounts receivable, and other receivables.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maintains its cash and cash equivalents, principally with accredited financial institutions of high credit standing. Although the Company deposits its cash and cash equivalents with multiple financial institutions, its deposits with each such financial institution exceed governmental insured limits.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routinely assesses the creditworthiness of its customers and does not require collateral. The Company generally has not experienced any material losses related to receivables from individual customers or groups of customers.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had no material losses related to marketplace receivables as the losses were dispersed across a large number of customers. The Company had no material losses related to wholesale and product receivables as the third-party transaction processor does not release the title to the vehicle until successfully collecting funds from the buying dealer. Titling is handled by the Company’s third-party transaction processor and titles are held in escrow until it collects funds from the buying dealer (i.e., title is legally transferred from the selling party to the buying party upon signing of bill of sale, but title is held in escrow by the third-party transaction processor until payment is received). Due to these factors, no additional credit risk beyond amounts provided for collection losses was believed by management to be probable in the Company’s accounts receivable and other receivables.</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 payment processor</w:t>
      </w:r>
      <w:r>
        <w:rPr>
          <w:rFonts w:ascii="Times New Roman" w:hAnsi="Times New Roman"/>
          <w:color w:val="00002D"/>
          <w:sz w:val="20"/>
        </w:rPr>
        <w:t xml:space="preserve"> </w:t>
      </w:r>
      <w:r>
        <w:rPr>
          <w:rFonts w:ascii="Outfit;sans-serif" w:hAnsi="Outfit;sans-serif"/>
          <w:color w:val="00002D"/>
          <w:sz w:val="20"/>
        </w:rPr>
        <w:t>for several hundred</w:t>
      </w:r>
      <w:r>
        <w:rPr>
          <w:rFonts w:ascii="Times New Roman" w:hAnsi="Times New Roman"/>
          <w:color w:val="00002D"/>
          <w:sz w:val="20"/>
        </w:rPr>
        <w:t xml:space="preserve"> </w:t>
      </w:r>
      <w:r>
        <w:rPr>
          <w:rFonts w:ascii="Outfit;sans-serif" w:hAnsi="Outfit;sans-serif"/>
          <w:color w:val="00002D"/>
          <w:sz w:val="20"/>
        </w:rPr>
        <w:t>dealer accounts represented 10.6% of net accounts receivable and other receivables. The related accounts receivable balance included unbilled and billed receivables that are not past due. The concentration was driven by the timing of payments pursuant to the agreement with the payment processor, as well as a decrease in the total accounts receivable, net balance as of March 31, 2025. The remainder of the accounts receivable was dispersed among more than 1,000</w:t>
      </w:r>
      <w:r>
        <w:rPr>
          <w:rFonts w:ascii="Times New Roman" w:hAnsi="Times New Roman"/>
          <w:color w:val="00002D"/>
          <w:sz w:val="20"/>
        </w:rPr>
        <w:t xml:space="preserve"> </w:t>
      </w:r>
      <w:r>
        <w:rPr>
          <w:rFonts w:ascii="Outfit;sans-serif" w:hAnsi="Outfit;sans-serif"/>
          <w:color w:val="00002D"/>
          <w:sz w:val="20"/>
        </w:rPr>
        <w:t xml:space="preserve">customers. </w:t>
      </w:r>
      <w:r>
        <w:rPr>
          <w:rFonts w:ascii="Outfit;sans-serif" w:hAnsi="Outfit;sans-serif"/>
          <w:color w:val="000000"/>
          <w:sz w:val="20"/>
        </w:rPr>
        <w:t>T</w:t>
      </w:r>
      <w:r>
        <w:rPr>
          <w:rFonts w:ascii="Outfit;sans-serif" w:hAnsi="Outfit;sans-serif"/>
          <w:color w:val="00002D"/>
          <w:sz w:val="20"/>
        </w:rPr>
        <w:t>herefore, the Company does not believe there is significant credit risk with respect to accounts receivable. As of December 31, 2024, there was no</w:t>
      </w:r>
      <w:r>
        <w:rPr>
          <w:rFonts w:ascii="Times New Roman" w:hAnsi="Times New Roman"/>
          <w:color w:val="00002D"/>
          <w:sz w:val="20"/>
        </w:rPr>
        <w:t xml:space="preserve"> </w:t>
      </w:r>
      <w:r>
        <w:rPr>
          <w:rFonts w:ascii="Outfit;sans-serif" w:hAnsi="Outfit;sans-serif"/>
          <w:color w:val="00002D"/>
          <w:sz w:val="20"/>
        </w:rPr>
        <w:t>concentration in excess of 10% of net accounts receivable and other receivables.</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no</w:t>
      </w:r>
      <w:r>
        <w:rPr>
          <w:rFonts w:ascii="Times New Roman" w:hAnsi="Times New Roman"/>
          <w:color w:val="00002D"/>
          <w:sz w:val="20"/>
        </w:rPr>
        <w:t xml:space="preserve"> </w:t>
      </w:r>
      <w:r>
        <w:rPr>
          <w:rFonts w:ascii="Outfit;sans-serif" w:hAnsi="Outfit;sans-serif"/>
          <w:color w:val="00002D"/>
          <w:sz w:val="20"/>
        </w:rPr>
        <w:t>customer accounted for more than 10% of total revenue.</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$13,663</w:t>
      </w:r>
      <w:r>
        <w:rPr>
          <w:rFonts w:ascii="Times New Roman" w:hAnsi="Times New Roman"/>
          <w:color w:val="00002D"/>
          <w:sz w:val="20"/>
        </w:rPr>
        <w:t xml:space="preserve"> </w:t>
      </w:r>
      <w:r>
        <w:rPr>
          <w:rFonts w:ascii="Outfit;sans-serif" w:hAnsi="Outfit;sans-serif"/>
          <w:color w:val="00002D"/>
          <w:sz w:val="20"/>
        </w:rPr>
        <w:t xml:space="preserve">and $13,213, respectively, was included in accounts receivable, net representing unbilled accounts receivable relating primarily to both advertising customers and dealers invoiced in the period subsequent to services rendered and revenue recognition adjustments for Company offered discounts given to dealers in accordance with ASC Topic 606, </w:t>
      </w:r>
      <w:r>
        <w:rPr>
          <w:rFonts w:ascii="Outfit;sans-serif" w:hAnsi="Outfit;sans-serif"/>
          <w:i/>
          <w:color w:val="00002D"/>
          <w:sz w:val="20"/>
        </w:rPr>
        <w:t xml:space="preserve">Revenue from Contracts with Customers </w:t>
      </w:r>
      <w:r>
        <w:rPr>
          <w:rFonts w:ascii="Outfit;sans-serif" w:hAnsi="Outfit;sans-serif"/>
          <w:color w:val="00002D"/>
          <w:sz w:val="20"/>
        </w:rPr>
        <w:t>(“ASC 606”).</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Significant Accounting Policies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Unaudited Condensed Consolidated Financial Statements reflect the application of certain significant accounting policies as described below and elsewhere in these notes to the Unaudited Condensed Consolidated Financial Statements. As of March 31, 2025, there have been no material changes in the Company’s significant accounting policies, which are detailed 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Recent Accounting Pronouncements Not Yet Adopted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From time to time, new accounting pronouncements are issued by the FASB or other standard-setting bodies and adopted by the Company on or prior to the specified effective date. Unless otherwise disclosed below, the Company believes that the impact of recently issued standards that are not yet effective will not have a material impact on its financial position or results of operations upon adoption. As of March 31, 2025, there are no new accounting pronouncements that the Company is considering adopting, other than those described below.</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November 2024 the FASB issued ASU 2024-03, </w:t>
      </w:r>
      <w:r>
        <w:rPr>
          <w:rFonts w:ascii="Outfit;sans-serif" w:hAnsi="Outfit;sans-serif"/>
          <w:i/>
          <w:color w:val="00002D"/>
          <w:sz w:val="20"/>
        </w:rPr>
        <w:t>Income Statement-Reporting Comprehensive Income-Expense Disaggregation Disclosures (Subtopic 220-40): Disaggregation of Income Statement Expenses</w:t>
      </w:r>
      <w:r>
        <w:rPr>
          <w:rFonts w:ascii="Times New Roman" w:hAnsi="Times New Roman"/>
          <w:color w:val="00002D"/>
          <w:sz w:val="20"/>
        </w:rPr>
        <w:t xml:space="preserve"> </w:t>
      </w:r>
      <w:r>
        <w:rPr>
          <w:rFonts w:ascii="Outfit;sans-serif" w:hAnsi="Outfit;sans-serif"/>
          <w:color w:val="00002D"/>
          <w:sz w:val="20"/>
        </w:rPr>
        <w:t>(“ASU 2024-03”). ASU 2024-03 is intended to provide more detailed expense information and requires additional disaggregated disclosures in the notes to the financial statements for categories of expenses that are included on the face of the income statement. ASU 2024-03 is effective for the fiscal years beginning after December 15, 2026, and interim periods within fiscal years beginning after December 15, 2027. Early adoption is permitted. ASU 2024-03 may be applied either prospectively to financial statements issued for periods after the effective date of ASU 2024-03 or retrospectively to all prior periods presented in the consolidated financial statements. The Company is currently evaluating the impact of ASU 2024-03 on its future consolidated financial statements and related disclosures.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In December 2023 the FASB issued ASU 2023-09, </w:t>
      </w:r>
      <w:r>
        <w:rPr>
          <w:rFonts w:ascii="Outfit;sans-serif" w:hAnsi="Outfit;sans-serif"/>
          <w:i/>
          <w:color w:val="00002D"/>
          <w:sz w:val="20"/>
        </w:rPr>
        <w:t xml:space="preserve">Income Taxes (Topic 740): Improvements to Income Tax Disclosures </w:t>
      </w:r>
      <w:r>
        <w:rPr>
          <w:rFonts w:ascii="Outfit;sans-serif" w:hAnsi="Outfit;sans-serif"/>
          <w:color w:val="00002D"/>
          <w:sz w:val="20"/>
        </w:rPr>
        <w:t>(“ASU 2023-09”)</w:t>
      </w:r>
      <w:r>
        <w:rPr>
          <w:rFonts w:ascii="Outfit;sans-serif" w:hAnsi="Outfit;sans-serif"/>
          <w:i/>
          <w:color w:val="00002D"/>
          <w:sz w:val="20"/>
        </w:rPr>
        <w:t xml:space="preserve">. </w:t>
      </w:r>
      <w:r>
        <w:rPr>
          <w:rFonts w:ascii="Outfit;sans-serif" w:hAnsi="Outfit;sans-serif"/>
          <w:color w:val="00002D"/>
          <w:sz w:val="20"/>
        </w:rPr>
        <w:t>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The Company is currently evaluating the impact of ASU 2023-09 on its future consolidated financial statements and related disclosures.</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3. Revenue Recognition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March 31, 2025 and 2024, revenue from contracts with customers by services and products was as follows:</w:t>
      </w:r>
    </w:p>
    <w:p>
      <w:pPr>
        <w:pStyle w:val="TextBody"/>
        <w:bidi w:val="0"/>
        <w:jc w:val="both"/>
        <w:rPr/>
      </w:pPr>
      <w:r>
        <w:rPr/>
        <w:t> </w:t>
      </w:r>
    </w:p>
    <w:tbl>
      <w:tblPr>
        <w:tblW w:w="6884" w:type="dxa"/>
        <w:jc w:val="left"/>
        <w:tblInd w:w="0" w:type="dxa"/>
        <w:tblLayout w:type="fixed"/>
        <w:tblCellMar>
          <w:top w:w="28" w:type="dxa"/>
          <w:left w:w="28" w:type="dxa"/>
          <w:bottom w:w="28" w:type="dxa"/>
          <w:right w:w="28" w:type="dxa"/>
        </w:tblCellMar>
      </w:tblPr>
      <w:tblGrid>
        <w:gridCol w:w="3631"/>
        <w:gridCol w:w="146"/>
        <w:gridCol w:w="226"/>
        <w:gridCol w:w="886"/>
        <w:gridCol w:w="146"/>
        <w:gridCol w:w="146"/>
        <w:gridCol w:w="226"/>
        <w:gridCol w:w="886"/>
        <w:gridCol w:w="5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212,235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187,219</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Dealer-to-Dealer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18,499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Sell My Car - Instant Max Cash Offer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4,758</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10,078</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Outfit;sans-serif" w:hAnsi="Outfit;sans-serif"/>
          <w:color w:val="00002D"/>
          <w:sz w:val="20"/>
        </w:rPr>
      </w:pPr>
      <w:r>
        <w:rPr>
          <w:rFonts w:ascii="Outfit;sans-serif" w:hAnsi="Outfit;sans-serif"/>
          <w:color w:val="00002D"/>
          <w:sz w:val="20"/>
        </w:rPr>
        <w:t>The Company provides disaggregation of revenue by services and products, by income statement presentation, by segment, and by geographic region.</w:t>
      </w:r>
    </w:p>
    <w:p>
      <w:pPr>
        <w:pStyle w:val="TextBody"/>
        <w:bidi w:val="0"/>
        <w:spacing w:before="240" w:after="283"/>
        <w:jc w:val="both"/>
        <w:rPr>
          <w:rFonts w:ascii="Times New Roman" w:hAnsi="Times New Roman"/>
          <w:sz w:val="20"/>
        </w:rPr>
      </w:pPr>
      <w:r>
        <w:rPr>
          <w:rFonts w:ascii="Outfit;sans-serif" w:hAnsi="Outfit;sans-serif"/>
          <w:color w:val="00002D"/>
          <w:sz w:val="20"/>
        </w:rPr>
        <w:t>Revenue by services and products is disaggregated by (i) marketplace services, (ii) Dealer-to-Dealer services and products, and (iii) Sell My Car - Instant Max Cash Offer (“IMCO</w:t>
      </w:r>
      <w:r>
        <w:rPr>
          <w:rFonts w:ascii="Times New Roman" w:hAnsi="Times New Roman"/>
          <w:color w:val="000000"/>
          <w:sz w:val="20"/>
        </w:rPr>
        <w:t>”</w:t>
      </w:r>
      <w:r>
        <w:rPr>
          <w:rFonts w:ascii="Outfit;sans-serif" w:hAnsi="Outfit;sans-serif"/>
          <w:color w:val="00002D"/>
          <w:sz w:val="20"/>
        </w:rPr>
        <w:t>) services and products, as disclosed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income statement presentation is disaggregated by (i) marketplace, (ii) wholesale, and (iii) product revenue sources, as disclosed in the Unaudited Condensed Consolidated Income Statements. Marketplace services are included within marketplace revenue in the Unaudited Condensed Consolidated Income Statements. Dealer-to-Dealer and IMCO services and products are included within both wholesale revenue and product revenue in the Unaudited Condensed Consolidated Income Statements.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segment is disaggregated by (i) U.S. Marketplace and (ii) Digital Wholesale segments, as disclosed in Note 12 of the Unaudited Condensed Consolidated Financial Statements. Marketplace services are included in the U.S. Marketplace segment and in the Other category of segment reporting. Dealer-to-Dealer and IMCO services and products are included in the Digital Wholesale segment.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by geographic region is disaggregated by (i) U.S. and (ii) International regions as disclosed in Note 12 of the Unaudited Condensed Consolidated Financial Statements. Marketplace services are provided in the U.S. and International regions. Dealer-to-Dealer and IMCO services and products are provided in the U.S. region.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believes these categories best depict how the nature, amount, timing, and uncertainty of revenue and cash flows are affected by economic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ASC 606 requires that the Company disclose the aggregate amount of transaction price that is allocated to performance obligations that have not yet been satisfied as of the relevant quarter end.</w:t>
      </w:r>
    </w:p>
    <w:p>
      <w:pPr>
        <w:pStyle w:val="TextBody"/>
        <w:bidi w:val="0"/>
        <w:spacing w:before="240" w:after="283"/>
        <w:jc w:val="both"/>
        <w:rPr>
          <w:rFonts w:ascii="Times New Roman" w:hAnsi="Times New Roman"/>
          <w:sz w:val="20"/>
        </w:rPr>
      </w:pPr>
      <w:r>
        <w:rPr>
          <w:rFonts w:ascii="Outfit;sans-serif" w:hAnsi="Outfit;sans-serif"/>
          <w:color w:val="00002D"/>
          <w:sz w:val="20"/>
        </w:rPr>
        <w:t>For contracts with an original expected duration greater than one year, the aggregate amount of the transaction price allocated to the performance obligations that were unsatisfied as of March 31, 2025, was approximately $67.8</w:t>
      </w:r>
      <w:r>
        <w:rPr>
          <w:rFonts w:ascii="Times New Roman" w:hAnsi="Times New Roman"/>
          <w:color w:val="00002D"/>
          <w:sz w:val="20"/>
        </w:rPr>
        <w:t xml:space="preserve"> </w:t>
      </w:r>
      <w:r>
        <w:rPr>
          <w:rFonts w:ascii="Outfit;sans-serif" w:hAnsi="Outfit;sans-serif"/>
          <w:color w:val="00002D"/>
          <w:sz w:val="20"/>
        </w:rPr>
        <w:t>million, which the Company expects to recognize over the next 12 months.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contracts with an original expected duration of one year or less, the Company has applied the practical expedient available under ASC 606 to not disclose the amount of transaction price allocated to unsatisfied performance obligations as of March 31, 2025. For performance obligations not satisfied as of March 31, 2025, and to which this expedient applies, the nature of the performance obligations, the variable consideration, and any consideration from contracts with customers not included in the transaction price is consistent with performance obligations satisfied as of March 31, 2025.</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revenue recognized from amounts included in deferred revenue at the beginning of the period was $21,661</w:t>
      </w:r>
      <w:r>
        <w:rPr>
          <w:rFonts w:ascii="Times New Roman" w:hAnsi="Times New Roman"/>
          <w:color w:val="00002D"/>
          <w:sz w:val="20"/>
        </w:rPr>
        <w:t xml:space="preserve"> </w:t>
      </w:r>
      <w:r>
        <w:rPr>
          <w:rFonts w:ascii="Outfit;sans-serif" w:hAnsi="Outfit;sans-serif"/>
          <w:color w:val="00002D"/>
          <w:sz w:val="20"/>
        </w:rPr>
        <w:t>and $21,322, respectively.</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4. Fair Value of Financial Instruments</w:t>
      </w:r>
    </w:p>
    <w:p>
      <w:pPr>
        <w:pStyle w:val="TextBody"/>
        <w:bidi w:val="0"/>
        <w:spacing w:before="240" w:after="283"/>
        <w:jc w:val="left"/>
        <w:rPr>
          <w:rFonts w:ascii="Outfit;sans-serif" w:hAnsi="Outfit;sans-serif"/>
          <w:color w:val="00002D"/>
          <w:sz w:val="20"/>
        </w:rPr>
      </w:pPr>
      <w:r>
        <w:rPr>
          <w:rFonts w:ascii="Outfit;sans-serif" w:hAnsi="Outfit;sans-serif"/>
          <w:color w:val="00002D"/>
          <w:sz w:val="20"/>
        </w:rPr>
        <w:t>As of March 31, 2025 and December 31, 2024, assets measured at fair value on a recurring basis consisted of the following:</w:t>
      </w:r>
    </w:p>
    <w:p>
      <w:pPr>
        <w:pStyle w:val="TextBody"/>
        <w:bidi w:val="0"/>
        <w:jc w:val="left"/>
        <w:rPr/>
      </w:pPr>
      <w:r>
        <w:rPr/>
        <w:t> </w:t>
      </w:r>
    </w:p>
    <w:tbl>
      <w:tblPr>
        <w:tblW w:w="10041" w:type="dxa"/>
        <w:jc w:val="left"/>
        <w:tblInd w:w="0" w:type="dxa"/>
        <w:tblLayout w:type="fixed"/>
        <w:tblCellMar>
          <w:top w:w="28" w:type="dxa"/>
          <w:left w:w="28" w:type="dxa"/>
          <w:bottom w:w="28" w:type="dxa"/>
          <w:right w:w="28" w:type="dxa"/>
        </w:tblCellMar>
      </w:tblPr>
      <w:tblGrid>
        <w:gridCol w:w="1861"/>
        <w:gridCol w:w="146"/>
        <w:gridCol w:w="441"/>
        <w:gridCol w:w="1494"/>
        <w:gridCol w:w="146"/>
        <w:gridCol w:w="146"/>
        <w:gridCol w:w="710"/>
        <w:gridCol w:w="1090"/>
        <w:gridCol w:w="146"/>
        <w:gridCol w:w="146"/>
        <w:gridCol w:w="805"/>
        <w:gridCol w:w="1235"/>
        <w:gridCol w:w="146"/>
        <w:gridCol w:w="146"/>
        <w:gridCol w:w="226"/>
        <w:gridCol w:w="766"/>
        <w:gridCol w:w="3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97,520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97,520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97,520</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61" w:type="dxa"/>
        <w:jc w:val="left"/>
        <w:tblInd w:w="0" w:type="dxa"/>
        <w:tblLayout w:type="fixed"/>
        <w:tblCellMar>
          <w:top w:w="28" w:type="dxa"/>
          <w:left w:w="28" w:type="dxa"/>
          <w:bottom w:w="28" w:type="dxa"/>
          <w:right w:w="28" w:type="dxa"/>
        </w:tblCellMar>
      </w:tblPr>
      <w:tblGrid>
        <w:gridCol w:w="1861"/>
        <w:gridCol w:w="146"/>
        <w:gridCol w:w="393"/>
        <w:gridCol w:w="1542"/>
        <w:gridCol w:w="146"/>
        <w:gridCol w:w="146"/>
        <w:gridCol w:w="710"/>
        <w:gridCol w:w="1090"/>
        <w:gridCol w:w="146"/>
        <w:gridCol w:w="146"/>
        <w:gridCol w:w="805"/>
        <w:gridCol w:w="1235"/>
        <w:gridCol w:w="146"/>
        <w:gridCol w:w="146"/>
        <w:gridCol w:w="226"/>
        <w:gridCol w:w="886"/>
        <w:gridCol w:w="3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Quoted Prices</w:t>
              <w:br/>
              <w:t>in Active Markets</w:t>
              <w:br/>
              <w:t>for Identical Assets</w:t>
              <w:br/>
              <w:t>(Level 1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 Other</w:t>
              <w:br/>
              <w:t>Observable Inputs</w:t>
              <w:br/>
              <w:t>(Level 2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Significant</w:t>
              <w:br/>
              <w:t>Unobservable Inputs</w:t>
              <w:br/>
              <w:t>(Level 3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Cash equivalents: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0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542"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90"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235"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top w:val="single" w:sz="4" w:space="0" w:color="000000"/>
              <w:bottom w:val="double" w:sz="6" w:space="0" w:color="000000"/>
            </w:tcBorders>
            <w:shd w:fill="EEF2F7" w:val="clear"/>
            <w:tcMar>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165,074</w:t>
            </w:r>
          </w:p>
        </w:tc>
        <w:tc>
          <w:tcPr>
            <w:tcW w:w="391" w:type="dxa"/>
            <w:tcBorders>
              <w:top w:val="single" w:sz="4" w:space="0" w:color="000000"/>
            </w:tcBorders>
            <w:shd w:fill="EEF2F7"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Outfit;sans-serif" w:hAnsi="Outfit;sans-serif"/>
          <w:b/>
          <w:color w:val="3465B0"/>
          <w:sz w:val="24"/>
        </w:rPr>
      </w:pPr>
      <w:r>
        <w:rPr>
          <w:rFonts w:ascii="Outfit;sans-serif" w:hAnsi="Outfit;sans-serif"/>
          <w:b/>
          <w:color w:val="3465B0"/>
          <w:sz w:val="24"/>
        </w:rPr>
        <w:t>5. Property and Equipment, Net</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property and equipment, net consisted of the following:</w:t>
      </w:r>
      <w:r>
        <w:rPr>
          <w:rFonts w:ascii="Times New Roman" w:hAnsi="Times New Roman"/>
          <w:color w:val="00002D"/>
          <w:sz w:val="20"/>
        </w:rPr>
        <w:t xml:space="preserve"> </w:t>
      </w:r>
    </w:p>
    <w:p>
      <w:pPr>
        <w:pStyle w:val="TextBody"/>
        <w:bidi w:val="0"/>
        <w:jc w:val="both"/>
        <w:rPr/>
      </w:pPr>
      <w:r>
        <w:rPr/>
        <w:t> </w:t>
      </w:r>
    </w:p>
    <w:tbl>
      <w:tblPr>
        <w:tblW w:w="8267" w:type="dxa"/>
        <w:jc w:val="left"/>
        <w:tblInd w:w="0" w:type="dxa"/>
        <w:tblLayout w:type="fixed"/>
        <w:tblCellMar>
          <w:top w:w="28" w:type="dxa"/>
          <w:left w:w="28" w:type="dxa"/>
          <w:bottom w:w="28" w:type="dxa"/>
          <w:right w:w="28" w:type="dxa"/>
        </w:tblCellMar>
      </w:tblPr>
      <w:tblGrid>
        <w:gridCol w:w="4876"/>
        <w:gridCol w:w="146"/>
        <w:gridCol w:w="226"/>
        <w:gridCol w:w="886"/>
        <w:gridCol w:w="181"/>
        <w:gridCol w:w="146"/>
        <w:gridCol w:w="280"/>
        <w:gridCol w:w="1100"/>
        <w:gridCol w:w="42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March 31,</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equipment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7,837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7,880</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21,733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20,060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Capitalized website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63,578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56,877</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13,960</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Leasehold improvements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85,891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95,691</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189,467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194,623</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(57,084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(64,613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87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132,383</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130,010</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Outfit;sans-serif" w:hAnsi="Outfit;sans-serif"/>
          <w:color w:val="00002D"/>
          <w:sz w:val="20"/>
        </w:rPr>
        <w:t>During the three months ended March 31, 2025, capitalized website development costs increased $6,701</w:t>
      </w:r>
      <w:r>
        <w:rPr>
          <w:rFonts w:ascii="Times New Roman" w:hAnsi="Times New Roman"/>
          <w:color w:val="00002D"/>
          <w:sz w:val="20"/>
        </w:rPr>
        <w:t xml:space="preserve"> </w:t>
      </w:r>
      <w:r>
        <w:rPr>
          <w:rFonts w:ascii="Outfit;sans-serif" w:hAnsi="Outfit;sans-serif"/>
          <w:color w:val="00002D"/>
          <w:sz w:val="20"/>
        </w:rPr>
        <w:t>due to continued net investment in the Company's product offerings.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March 31, 2025, furniture and fixtures, and leasehold improvements decreased $3,654</w:t>
      </w:r>
      <w:r>
        <w:rPr>
          <w:rFonts w:ascii="Times New Roman" w:hAnsi="Times New Roman"/>
          <w:color w:val="00002D"/>
          <w:sz w:val="20"/>
        </w:rPr>
        <w:t xml:space="preserve"> </w:t>
      </w:r>
      <w:r>
        <w:rPr>
          <w:rFonts w:ascii="Outfit;sans-serif" w:hAnsi="Outfit;sans-serif"/>
          <w:color w:val="00002D"/>
          <w:sz w:val="20"/>
        </w:rPr>
        <w:t>and $9,800, respectively, due to disposals of fully depreciated assets within the U.S. Marketplace segment related to the expiration of the lease of office space at 55 Cambridge Parkway.</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depreciation and amortization expense, excluding amortization of intangible assets, amortization of capitalized hosting arrangements, and disposals, was $6,049</w:t>
      </w:r>
      <w:r>
        <w:rPr>
          <w:rFonts w:ascii="Times New Roman" w:hAnsi="Times New Roman"/>
          <w:color w:val="00002D"/>
          <w:sz w:val="20"/>
        </w:rPr>
        <w:t xml:space="preserve"> </w:t>
      </w:r>
      <w:r>
        <w:rPr>
          <w:rFonts w:ascii="Outfit;sans-serif" w:hAnsi="Outfit;sans-serif"/>
          <w:color w:val="00002D"/>
          <w:sz w:val="20"/>
        </w:rPr>
        <w:t>and $5,599, respectively.</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6. Accrued Expenses, Accrued Income Taxes, and Other Current Liabilities</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accrued expenses, accrued income taxes, and other current liabilities consisted of the following:</w:t>
      </w:r>
      <w:r>
        <w:rPr>
          <w:rFonts w:ascii="Times New Roman" w:hAnsi="Times New Roman"/>
          <w:color w:val="00002D"/>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00"/>
        <w:gridCol w:w="146"/>
        <w:gridCol w:w="235"/>
        <w:gridCol w:w="795"/>
        <w:gridCol w:w="146"/>
        <w:gridCol w:w="146"/>
        <w:gridCol w:w="305"/>
        <w:gridCol w:w="1039"/>
        <w:gridCol w:w="493"/>
      </w:tblGrid>
      <w:tr>
        <w:trPr/>
        <w:tc>
          <w:tcPr>
            <w:tcW w:w="6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bonus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9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6,390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3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17,377</w:t>
            </w:r>
          </w:p>
        </w:tc>
        <w:tc>
          <w:tcPr>
            <w:tcW w:w="49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4,818</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accrued expenses, accrued income taxes, and other current liabilities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20,865</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13,780</w:t>
            </w:r>
          </w:p>
        </w:tc>
        <w:tc>
          <w:tcPr>
            <w:tcW w:w="4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35,975</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The decrease of $10,987</w:t>
      </w:r>
      <w:r>
        <w:rPr>
          <w:rFonts w:ascii="Times New Roman" w:hAnsi="Times New Roman"/>
          <w:color w:val="00002D"/>
          <w:sz w:val="20"/>
        </w:rPr>
        <w:t xml:space="preserve"> </w:t>
      </w:r>
      <w:r>
        <w:rPr>
          <w:rFonts w:ascii="Outfit;sans-serif" w:hAnsi="Outfit;sans-serif"/>
          <w:color w:val="00002D"/>
          <w:sz w:val="20"/>
        </w:rPr>
        <w:t>in accrued bonus was due to the payout of the second portion of the fiscal year 2024 bonuses in the first quarter of 2025, offset in part by the accrual for the fiscal year 2025 bonuses.</w:t>
      </w:r>
    </w:p>
    <w:p>
      <w:pPr>
        <w:pStyle w:val="TextBody"/>
        <w:bidi w:val="0"/>
        <w:spacing w:before="240" w:after="283"/>
        <w:jc w:val="both"/>
        <w:rPr>
          <w:rFonts w:ascii="Times New Roman" w:hAnsi="Times New Roman"/>
          <w:sz w:val="20"/>
        </w:rPr>
      </w:pPr>
      <w:r>
        <w:rPr>
          <w:rFonts w:ascii="Outfit;sans-serif" w:hAnsi="Outfit;sans-serif"/>
          <w:b/>
          <w:color w:val="3465B0"/>
          <w:sz w:val="24"/>
        </w:rPr>
        <w:t>7. Debt</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the Company had no</w:t>
      </w:r>
      <w:r>
        <w:rPr>
          <w:rFonts w:ascii="Times New Roman" w:hAnsi="Times New Roman"/>
          <w:color w:val="00002D"/>
          <w:sz w:val="20"/>
        </w:rPr>
        <w:t xml:space="preserve"> </w:t>
      </w:r>
      <w:r>
        <w:rPr>
          <w:rFonts w:ascii="Outfit;sans-serif" w:hAnsi="Outfit;sans-serif"/>
          <w:color w:val="00002D"/>
          <w:sz w:val="20"/>
        </w:rPr>
        <w:t>long-term debt outstanding.</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Revolving Credit Facility</w:t>
      </w:r>
    </w:p>
    <w:p>
      <w:pPr>
        <w:pStyle w:val="TextBody"/>
        <w:bidi w:val="0"/>
        <w:spacing w:before="240" w:after="283"/>
        <w:jc w:val="both"/>
        <w:rPr>
          <w:rFonts w:ascii="Times New Roman" w:hAnsi="Times New Roman"/>
          <w:sz w:val="20"/>
        </w:rPr>
      </w:pPr>
      <w:r>
        <w:rPr>
          <w:rFonts w:ascii="Outfit;sans-serif" w:hAnsi="Outfit;sans-serif"/>
          <w:color w:val="00002D"/>
          <w:sz w:val="20"/>
        </w:rPr>
        <w:t>On September 26, 2022, the Company entered into a Credit Agreement with PNC Bank, National Association, as administrative agent and collateral agent and an L/C Issuer (as defined in the Credit Agreement), and the other lenders, L/C Issuers, and parties thereto from time to time (the “Credit Agreement”). The Credit Agreement consists of a revolving credit facility (the “2022 Revolver”), which allows the Company to borrow up to $400.0</w:t>
      </w:r>
      <w:r>
        <w:rPr>
          <w:rFonts w:ascii="Times New Roman" w:hAnsi="Times New Roman"/>
          <w:color w:val="00002D"/>
          <w:sz w:val="20"/>
        </w:rPr>
        <w:t xml:space="preserve"> </w:t>
      </w:r>
      <w:r>
        <w:rPr>
          <w:rFonts w:ascii="Outfit;sans-serif" w:hAnsi="Outfit;sans-serif"/>
          <w:color w:val="00002D"/>
          <w:sz w:val="20"/>
        </w:rPr>
        <w:t>million, $50.0</w:t>
      </w:r>
      <w:r>
        <w:rPr>
          <w:rFonts w:ascii="Times New Roman" w:hAnsi="Times New Roman"/>
          <w:color w:val="00002D"/>
          <w:sz w:val="20"/>
        </w:rPr>
        <w:t xml:space="preserve"> </w:t>
      </w:r>
      <w:r>
        <w:rPr>
          <w:rFonts w:ascii="Outfit;sans-serif" w:hAnsi="Outfit;sans-serif"/>
          <w:color w:val="00002D"/>
          <w:sz w:val="20"/>
        </w:rPr>
        <w:t>million of which may be comprised of a letter of credit sub-facility (the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w:t>
      </w:r>
      <w:r>
        <w:rPr>
          <w:rFonts w:ascii="Times New Roman" w:hAnsi="Times New Roman"/>
          <w:color w:val="00002D"/>
          <w:sz w:val="20"/>
        </w:rPr>
        <w:t xml:space="preserve"> </w:t>
      </w:r>
      <w:r>
        <w:rPr>
          <w:rFonts w:ascii="Outfit;sans-serif" w:hAnsi="Outfit;sans-serif"/>
          <w:color w:val="00002D"/>
          <w:sz w:val="20"/>
        </w:rPr>
        <w:t>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applicable interest rate is, at the Company’s option, based on a number of different benchmark rates and applicable spreads, based on the ratio of the outstanding principal amount of the Company’s secured indebtedness to the trailing four quarters of consolidated EBITDA (as determined under the Credit Agreement, the “Consolidated Secured Net Leverage Ratio”). The Credit Agreement also requires the Company to pay a commitment fee to the lenders with respect of the unutilized revolving commitments at a rate ranging from 0.125% to 0.175% per annum based on the Consolidated Secured Net Leverage Ratio, as determined on a quarterly basis.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2022 Revolver is secured by a first priority lien on substantially all tangible and intangible property of the Company, as well as any future guarantors, and pledges of the equity of certain wholly-owned subsidiaries, in each case subject to certain exceptions, limitations, and exclusions from the collateral. The Credit Agreement includes customary events of default and requires the Company to comply with customary affirmative and negative covenants, including a financial covenant requiring that the Company not exceed certain Consolidated Secured Net Leverage Ratio ranges at the end of each fiscal quarter. The Company was in compliance with all covenants as of March 31,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there were no</w:t>
      </w:r>
      <w:r>
        <w:rPr>
          <w:rFonts w:ascii="Times New Roman" w:hAnsi="Times New Roman"/>
          <w:color w:val="00002D"/>
          <w:sz w:val="20"/>
        </w:rPr>
        <w:t xml:space="preserve"> </w:t>
      </w:r>
      <w:r>
        <w:rPr>
          <w:rFonts w:ascii="Outfit;sans-serif" w:hAnsi="Outfit;sans-serif"/>
          <w:color w:val="00002D"/>
          <w:sz w:val="20"/>
        </w:rPr>
        <w:t>borrowings and $9,907</w:t>
      </w:r>
      <w:r>
        <w:rPr>
          <w:rFonts w:ascii="Times New Roman" w:hAnsi="Times New Roman"/>
          <w:color w:val="00002D"/>
          <w:sz w:val="20"/>
        </w:rPr>
        <w:t xml:space="preserve"> </w:t>
      </w:r>
      <w:r>
        <w:rPr>
          <w:rFonts w:ascii="Outfit;sans-serif" w:hAnsi="Outfit;sans-serif"/>
          <w:color w:val="00002D"/>
          <w:sz w:val="20"/>
        </w:rPr>
        <w:t>in letters of credit outstanding under the 2022 Revolver Sub-facility associated with the Company’s leases, which reduced the borrowing capacity under the 2022 Revolver to $390,093.</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deferred financing costs were $1,283</w:t>
      </w:r>
      <w:r>
        <w:rPr>
          <w:rFonts w:ascii="Times New Roman" w:hAnsi="Times New Roman"/>
          <w:color w:val="00002D"/>
          <w:sz w:val="20"/>
        </w:rPr>
        <w:t xml:space="preserve"> </w:t>
      </w:r>
      <w:r>
        <w:rPr>
          <w:rFonts w:ascii="Outfit;sans-serif" w:hAnsi="Outfit;sans-serif"/>
          <w:color w:val="00002D"/>
          <w:sz w:val="20"/>
        </w:rPr>
        <w:t>and $1,412, respectively, recognized within other non-current assets in the Unaudited Condensed Consolidated Balance Sheets. For the three months ended March 31, 2025 and 2024, amortization expense associated with deferred financing costs was immaterial.</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w:t>
      </w:r>
      <w:r>
        <w:rPr>
          <w:rFonts w:ascii="Times New Roman" w:hAnsi="Times New Roman"/>
          <w:color w:val="00002D"/>
          <w:sz w:val="20"/>
        </w:rPr>
        <w:t xml:space="preserve"> </w:t>
      </w:r>
      <w:r>
        <w:rPr>
          <w:rFonts w:ascii="Outfit;sans-serif" w:hAnsi="Outfit;sans-serif"/>
          <w:color w:val="00002D"/>
          <w:sz w:val="20"/>
        </w:rPr>
        <w:t>commitment fees under the 2022 Revolver were immaterial.</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3465B0"/>
          <w:sz w:val="24"/>
        </w:rPr>
        <w:t>8. Commitments and Contingencies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Contractual Obligations and Commitments</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all of the Company’s property and equipment and capitalized hosting arrangements have been purchased with cash with the exception of unpaid amounts as disclosed in the Unaudited Condensed Consolidated Statements of Cash Flows.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Leases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there were no material changes in the Company’s leases from those disclosed in the Annual Report.</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Letters of Credit</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$9,907</w:t>
      </w:r>
      <w:r>
        <w:rPr>
          <w:rFonts w:ascii="Times New Roman" w:hAnsi="Times New Roman"/>
          <w:color w:val="00002D"/>
          <w:sz w:val="20"/>
        </w:rPr>
        <w:t xml:space="preserve"> </w:t>
      </w:r>
      <w:r>
        <w:rPr>
          <w:rFonts w:ascii="Outfit;sans-serif" w:hAnsi="Outfit;sans-serif"/>
          <w:color w:val="00002D"/>
          <w:sz w:val="20"/>
        </w:rPr>
        <w:t>in letters of credit associated with the Company’s leases were included under the 2022 Revolver Sub-facility.</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Restricted Cash</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restricted cash was $2,848</w:t>
      </w:r>
      <w:r>
        <w:rPr>
          <w:rFonts w:ascii="Times New Roman" w:hAnsi="Times New Roman"/>
          <w:color w:val="00002D"/>
          <w:sz w:val="20"/>
        </w:rPr>
        <w:t xml:space="preserve"> </w:t>
      </w:r>
      <w:r>
        <w:rPr>
          <w:rFonts w:ascii="Outfit;sans-serif" w:hAnsi="Outfit;sans-serif"/>
          <w:color w:val="00002D"/>
          <w:sz w:val="20"/>
        </w:rPr>
        <w:t>and $2,036, respectively, and related to pass-through payments from dealers related to the Company’s Digital Wholesale business. As of both March 31, 2025 and December 31, 2024, all restricted cash was classified as a current asset, as disclosed in the Unaudited Condensed Consolidated Balance Sheets.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Tax Contingencies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 is subject to taxation in the U.S. and certain other jurisdictions in which it operates, which could include sales and use tax, value added tax, excise tax, gross receipts tax, and property tax. State, local, and foreign jurisdictions have differing rules and regulations governing sales, use, value added, and other taxes. These rules and regulations are complex and subject to varying interpretations that may change over time due to new court interpretations and newly enacted rules and regulations. As a result, the Company could face the possibility of tax assessments and audits, and its liability for these taxes and associated penalties could exceed its original estimates, which could be material.</w:t>
      </w:r>
    </w:p>
    <w:p>
      <w:pPr>
        <w:pStyle w:val="TextBody"/>
        <w:bidi w:val="0"/>
        <w:spacing w:before="240" w:after="283"/>
        <w:jc w:val="both"/>
        <w:rPr>
          <w:rFonts w:ascii="Times New Roman" w:hAnsi="Times New Roman"/>
          <w:sz w:val="20"/>
        </w:rPr>
      </w:pPr>
      <w:r>
        <w:rPr>
          <w:rFonts w:ascii="Outfit;sans-serif" w:hAnsi="Outfit;sans-serif"/>
          <w:b/>
          <w:i/>
          <w:color w:val="00002D"/>
          <w:sz w:val="20"/>
        </w:rPr>
        <w:t>Legal Matters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estimated. Judgment is required to determine both the probability of having incurred a liability and the estimated amount of the liability. The Company is not presently subject to any pending or threatened litigation that it believes, if determined adversely to the Company, individually or taken together, would reasonably be expected to have a material adverse effect on its business or financial results. However, litigation is inherently unpredictable and the future outcome of legal proceedings and other contingencies may be unexpected or differ from the Company’s estimated liabilities, which could have a material adverse effect on the Company’s future financial results.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3465B0"/>
          <w:sz w:val="24"/>
        </w:rPr>
        <w:t>9. Stock-based Compensation and Common Stock Share Repurchases</w:t>
      </w:r>
      <w:r>
        <w:rPr>
          <w:rFonts w:ascii="Times New Roman" w:hAnsi="Times New Roman"/>
          <w:color w:val="3465B0"/>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Stock-based Compensation Expense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March 31, 2025 and 2024, stock-based compensation expense by award type was as follows:</w:t>
      </w:r>
    </w:p>
    <w:tbl>
      <w:tblPr>
        <w:tblW w:w="5049" w:type="dxa"/>
        <w:jc w:val="left"/>
        <w:tblInd w:w="0" w:type="dxa"/>
        <w:tblLayout w:type="fixed"/>
        <w:tblCellMar>
          <w:top w:w="28" w:type="dxa"/>
          <w:left w:w="28" w:type="dxa"/>
          <w:bottom w:w="28" w:type="dxa"/>
          <w:right w:w="28" w:type="dxa"/>
        </w:tblCellMar>
      </w:tblPr>
      <w:tblGrid>
        <w:gridCol w:w="2236"/>
        <w:gridCol w:w="146"/>
        <w:gridCol w:w="226"/>
        <w:gridCol w:w="766"/>
        <w:gridCol w:w="146"/>
        <w:gridCol w:w="146"/>
        <w:gridCol w:w="226"/>
        <w:gridCol w:w="766"/>
        <w:gridCol w:w="3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12,900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15,822</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stock-based compensation expense by where the stock-based compensation expense was recognized in the Company’s Unaudited Condensed Consolidated Income Statements was as follows:</w:t>
      </w:r>
      <w:r>
        <w:rPr>
          <w:rFonts w:ascii="Times New Roman" w:hAnsi="Times New Roman"/>
          <w:color w:val="00002D"/>
          <w:sz w:val="20"/>
        </w:rPr>
        <w:t xml:space="preserve"> </w:t>
      </w:r>
    </w:p>
    <w:p>
      <w:pPr>
        <w:pStyle w:val="TextBody"/>
        <w:bidi w:val="0"/>
        <w:jc w:val="both"/>
        <w:rPr/>
      </w:pPr>
      <w:r>
        <w:rPr/>
        <w:t> </w:t>
      </w:r>
    </w:p>
    <w:tbl>
      <w:tblPr>
        <w:tblW w:w="7584" w:type="dxa"/>
        <w:jc w:val="left"/>
        <w:tblInd w:w="0" w:type="dxa"/>
        <w:tblLayout w:type="fixed"/>
        <w:tblCellMar>
          <w:top w:w="28" w:type="dxa"/>
          <w:left w:w="28" w:type="dxa"/>
          <w:bottom w:w="28" w:type="dxa"/>
          <w:right w:w="28" w:type="dxa"/>
        </w:tblCellMar>
      </w:tblPr>
      <w:tblGrid>
        <w:gridCol w:w="4771"/>
        <w:gridCol w:w="146"/>
        <w:gridCol w:w="226"/>
        <w:gridCol w:w="766"/>
        <w:gridCol w:w="146"/>
        <w:gridCol w:w="146"/>
        <w:gridCol w:w="226"/>
        <w:gridCol w:w="766"/>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231</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 expense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5,565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5,977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12,900</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15,822</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stock-based compensation expense excluded $1,638</w:t>
      </w:r>
      <w:r>
        <w:rPr>
          <w:rFonts w:ascii="Times New Roman" w:hAnsi="Times New Roman"/>
          <w:color w:val="00002D"/>
          <w:sz w:val="20"/>
        </w:rPr>
        <w:t xml:space="preserve"> </w:t>
      </w:r>
      <w:r>
        <w:rPr>
          <w:rFonts w:ascii="Outfit;sans-serif" w:hAnsi="Outfit;sans-serif"/>
          <w:color w:val="00002D"/>
          <w:sz w:val="20"/>
        </w:rPr>
        <w:t>and $1,827, respectively, of capitalized website development costs, capitalized internal-use software costs, and capitalized hosting arrangements.</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Common Stock Share Repurchases</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2024, the Company announced that the Board of Directors authorized a share repurchase program (the “2025 Share Repurchase Program”) pursuant to which the Company may, from time to time, purchase shares of its Class A common stock for an aggregate purchase price not to exceed $200.0</w:t>
      </w:r>
      <w:r>
        <w:rPr>
          <w:rFonts w:ascii="Times New Roman" w:hAnsi="Times New Roman"/>
          <w:color w:val="00002D"/>
          <w:sz w:val="20"/>
        </w:rPr>
        <w:t xml:space="preserve"> </w:t>
      </w:r>
      <w:r>
        <w:rPr>
          <w:rFonts w:ascii="Outfit;sans-serif" w:hAnsi="Outfit;sans-serif"/>
          <w:color w:val="00002D"/>
          <w:sz w:val="20"/>
        </w:rPr>
        <w:t>million.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The 2025 Share Repurchase Program does not obligate the Company to repurchase any minimum dollar amount or number of shares. The 2025 Share Repurchase Program has an effective date of January 1, 2025, and an expiration date of December 31, 2025, and prior to its expiration may be modified, suspended, or discontinued by the Board of Directors at any time without prior notice. All repurchased shares under the 2025 Share Repurchase Program will be retired. The Company has funded share repurchases and expects to continue to fund share repurchases under the 2025 Share Repurchase Program through cash on hand and cash generated from operations.</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2023, the Company announced that the Board of Directors authorized a share repurchase program (the “2024 Share Repurchase Program”) pursuant to which the Company could, from time to time, purchase shares of its Class A common stock for an aggregate purchase price not to exceed $250.0</w:t>
      </w:r>
      <w:r>
        <w:rPr>
          <w:rFonts w:ascii="Times New Roman" w:hAnsi="Times New Roman"/>
          <w:color w:val="00002D"/>
          <w:sz w:val="20"/>
        </w:rPr>
        <w:t xml:space="preserve"> </w:t>
      </w:r>
      <w:r>
        <w:rPr>
          <w:rFonts w:ascii="Outfit;sans-serif" w:hAnsi="Outfit;sans-serif"/>
          <w:color w:val="00002D"/>
          <w:sz w:val="20"/>
        </w:rPr>
        <w:t>million. The 2024 Share Repurchase Program expired on December 31, 2024. All repurchased shares of Class A common stock under the 2024 Share Repurchase Program were retired. The Company funded share repurchases under the 2024 Share Repurchase Program through cash on hand and cash generated from operations.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March 31, 2025, the Company repurchased and retired 5,919,435</w:t>
      </w:r>
      <w:r>
        <w:rPr>
          <w:rFonts w:ascii="Times New Roman" w:hAnsi="Times New Roman"/>
          <w:color w:val="00002D"/>
          <w:sz w:val="20"/>
        </w:rPr>
        <w:t xml:space="preserve"> </w:t>
      </w:r>
      <w:r>
        <w:rPr>
          <w:rFonts w:ascii="Outfit;sans-serif" w:hAnsi="Outfit;sans-serif"/>
          <w:color w:val="00002D"/>
          <w:sz w:val="20"/>
        </w:rPr>
        <w:t>shares of its Class A common stock for $184,199, exclusive of commissions and excise tax, at an average cost of $31.12</w:t>
      </w:r>
      <w:r>
        <w:rPr>
          <w:rFonts w:ascii="Times New Roman" w:hAnsi="Times New Roman"/>
          <w:color w:val="00002D"/>
          <w:sz w:val="20"/>
        </w:rPr>
        <w:t xml:space="preserve"> </w:t>
      </w:r>
      <w:r>
        <w:rPr>
          <w:rFonts w:ascii="Outfit;sans-serif" w:hAnsi="Outfit;sans-serif"/>
          <w:color w:val="00002D"/>
          <w:sz w:val="20"/>
        </w:rPr>
        <w:t>per share, under the 2025 Share Repurchase Program. As of March 31, 2025, the Company had remaining authorization to purchase up to $15,801</w:t>
      </w:r>
      <w:r>
        <w:rPr>
          <w:rFonts w:ascii="Times New Roman" w:hAnsi="Times New Roman"/>
          <w:color w:val="00002D"/>
          <w:sz w:val="20"/>
        </w:rPr>
        <w:t xml:space="preserve"> </w:t>
      </w:r>
      <w:r>
        <w:rPr>
          <w:rFonts w:ascii="Outfit;sans-serif" w:hAnsi="Outfit;sans-serif"/>
          <w:color w:val="00002D"/>
          <w:sz w:val="20"/>
        </w:rPr>
        <w:t>of its Class A common stock under the 2025 Share Repurchase Program.</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March 31, 2024, the Company repurchased and retired 3,538,194</w:t>
      </w:r>
      <w:r>
        <w:rPr>
          <w:rFonts w:ascii="Times New Roman" w:hAnsi="Times New Roman"/>
          <w:color w:val="00002D"/>
          <w:sz w:val="20"/>
        </w:rPr>
        <w:t xml:space="preserve"> </w:t>
      </w:r>
      <w:r>
        <w:rPr>
          <w:rFonts w:ascii="Outfit;sans-serif" w:hAnsi="Outfit;sans-serif"/>
          <w:color w:val="00002D"/>
          <w:sz w:val="20"/>
        </w:rPr>
        <w:t>shares of its Class A common stock for $81,067, exclusive of commissions and excise tax, at an average cost of $22.91</w:t>
      </w:r>
      <w:r>
        <w:rPr>
          <w:rFonts w:ascii="Times New Roman" w:hAnsi="Times New Roman"/>
          <w:color w:val="00002D"/>
          <w:sz w:val="20"/>
        </w:rPr>
        <w:t xml:space="preserve"> </w:t>
      </w:r>
      <w:r>
        <w:rPr>
          <w:rFonts w:ascii="Outfit;sans-serif" w:hAnsi="Outfit;sans-serif"/>
          <w:color w:val="00002D"/>
          <w:sz w:val="20"/>
        </w:rPr>
        <w:t>per share, under the 2024 Share Repurchase Program. As of December 31, 2024, the 2024 Share Repurchase Program expired.</w:t>
      </w:r>
    </w:p>
    <w:p>
      <w:pPr>
        <w:pStyle w:val="TextBody"/>
        <w:bidi w:val="0"/>
        <w:spacing w:before="240" w:after="283"/>
        <w:jc w:val="left"/>
        <w:rPr>
          <w:rFonts w:ascii="Times New Roman" w:hAnsi="Times New Roman"/>
          <w:sz w:val="20"/>
        </w:rPr>
      </w:pPr>
      <w:r>
        <w:rPr>
          <w:rFonts w:ascii="Outfit;sans-serif" w:hAnsi="Outfit;sans-serif"/>
          <w:b/>
          <w:color w:val="3465B0"/>
          <w:sz w:val="24"/>
        </w:rPr>
        <w:t>10. Earnings Per Share</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w:t>
      </w:r>
      <w:r>
        <w:rPr>
          <w:rFonts w:ascii="Times New Roman" w:hAnsi="Times New Roman"/>
          <w:color w:val="00002D"/>
          <w:sz w:val="20"/>
        </w:rPr>
        <w:t xml:space="preserve"> </w:t>
      </w:r>
      <w:r>
        <w:rPr>
          <w:rFonts w:ascii="Outfit;sans-serif" w:hAnsi="Outfit;sans-serif"/>
          <w:color w:val="00002D"/>
          <w:sz w:val="20"/>
        </w:rPr>
        <w:t>and each share of Class B common stock is entitled to</w:t>
      </w:r>
      <w:r>
        <w:rPr>
          <w:rFonts w:ascii="Times New Roman" w:hAnsi="Times New Roman"/>
          <w:color w:val="00002D"/>
          <w:sz w:val="20"/>
        </w:rPr>
        <w:t xml:space="preserve"> </w:t>
      </w:r>
      <w:r>
        <w:rPr>
          <w:rFonts w:ascii="Outfit;sans-serif" w:hAnsi="Outfit;sans-serif"/>
          <w:color w:val="00002D"/>
          <w:sz w:val="20"/>
        </w:rPr>
        <w:t>ten votes per share. Each share of Class B common stock is convertible into one share of Class A common stock at the option of the holder at any time or automatically upon certain events described in the Company’s fourth amended and restated certificate of incorporation, including upon either the death or voluntary termination of the Company’s Executive Chair.</w:t>
      </w:r>
      <w:r>
        <w:rPr>
          <w:rFonts w:ascii="Times New Roman" w:hAnsi="Times New Roman"/>
          <w:color w:val="00002D"/>
          <w:sz w:val="20"/>
        </w:rPr>
        <w:t xml:space="preserve"> </w:t>
      </w:r>
      <w:r>
        <w:rPr>
          <w:rFonts w:ascii="Outfit;sans-serif" w:hAnsi="Outfit;sans-serif"/>
          <w:color w:val="00002D"/>
          <w:sz w:val="20"/>
        </w:rPr>
        <w:t>The Company allocates undistributed earnings attributable to common stock between the common stock classes on a one</w:t>
        <w:noBreakHyphen/>
        <w:t>to</w:t>
        <w:noBreakHyphen/>
        <w:t>one</w:t>
      </w:r>
      <w:r>
        <w:rPr>
          <w:rFonts w:ascii="Times New Roman" w:hAnsi="Times New Roman"/>
          <w:color w:val="00002D"/>
          <w:sz w:val="20"/>
        </w:rPr>
        <w:t xml:space="preserve"> </w:t>
      </w:r>
      <w:r>
        <w:rPr>
          <w:rFonts w:ascii="Outfit;sans-serif" w:hAnsi="Outfit;sans-serif"/>
          <w:color w:val="00002D"/>
          <w:sz w:val="20"/>
        </w:rPr>
        <w:t>basis when computing net income per share. As a result, basic and diluted net income per share of Class A common stock and per share of Class B common stock are equivalent.</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March 31, 2025, 770,495</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year ended December 31, 2024, 1,012,428</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 During the three months ended March 31, 2024, no</w:t>
      </w:r>
      <w:r>
        <w:rPr>
          <w:rFonts w:ascii="Times New Roman" w:hAnsi="Times New Roman"/>
          <w:color w:val="00002D"/>
          <w:sz w:val="20"/>
        </w:rPr>
        <w:t xml:space="preserve"> </w:t>
      </w:r>
      <w:r>
        <w:rPr>
          <w:rFonts w:ascii="Outfit;sans-serif" w:hAnsi="Outfit;sans-serif"/>
          <w:color w:val="00002D"/>
          <w:sz w:val="20"/>
        </w:rPr>
        <w:t>shares of Class B common stock were converted into Class A common stock.</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Basic net income per share (“Basic EPS”)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plus the weighted-average of any additional shares issued and outstanding during the reporting period, less the weighted-average of any shares repurchased during the period.</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Diluted net income per share (“Diluted EPS”) gives effect to all potentially dilutive securities. Diluted EPS is computed by dividing net income by the weighted-average number of common shares outstanding during the reporting period using (i) the number of shares of common stock used in the Basic EPS calculation as indicated above, and (ii) if dilutive, the incremental weighted-average common stock that the Company would issue upon the exercise of stock options and the vesting of restricted stock units. The dilutive effect of these common stock equivalents is reflected in diluted earnings per share by application of the treasury stock method.</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a reconciliation of the numerator and denominator used in the calculation of basic and diluted net income per share was as follows:</w:t>
      </w:r>
      <w:r>
        <w:rPr>
          <w:rFonts w:ascii="Times New Roman" w:hAnsi="Times New Roman"/>
          <w:color w:val="00002D"/>
          <w:sz w:val="20"/>
        </w:rPr>
        <w:t xml:space="preserve"> </w:t>
      </w:r>
    </w:p>
    <w:p>
      <w:pPr>
        <w:pStyle w:val="TextBody"/>
        <w:bidi w:val="0"/>
        <w:jc w:val="both"/>
        <w:rPr/>
      </w:pPr>
      <w:r>
        <w:rPr/>
        <w:t> </w:t>
      </w:r>
    </w:p>
    <w:tbl>
      <w:tblPr>
        <w:tblW w:w="9924" w:type="dxa"/>
        <w:jc w:val="left"/>
        <w:tblInd w:w="0" w:type="dxa"/>
        <w:tblLayout w:type="fixed"/>
        <w:tblCellMar>
          <w:top w:w="28" w:type="dxa"/>
          <w:left w:w="28" w:type="dxa"/>
          <w:bottom w:w="28" w:type="dxa"/>
          <w:right w:w="28" w:type="dxa"/>
        </w:tblCellMar>
      </w:tblPr>
      <w:tblGrid>
        <w:gridCol w:w="6031"/>
        <w:gridCol w:w="146"/>
        <w:gridCol w:w="226"/>
        <w:gridCol w:w="1306"/>
        <w:gridCol w:w="146"/>
        <w:gridCol w:w="146"/>
        <w:gridCol w:w="226"/>
        <w:gridCol w:w="1306"/>
        <w:gridCol w:w="39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Numerator: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Denominator: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 xml:space="preserve">Weighted-average number of shares of common stock used </w:t>
              <w:br/>
              <w:t xml:space="preserve">   in computing net income per share attributable to </w:t>
              <w:br/>
              <w:t>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103,094,690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107,174,812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Dilutive effect of share equivalents resulting from stock </w:t>
              <w:br/>
              <w:t>   options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20,619</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215,891</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Dilutive effect of share equivalents resulting from</w:t>
              <w:br/>
              <w:t>   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1,952,737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1,241,456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 xml:space="preserve">Weighted-average number of shares of common stock </w:t>
              <w:br/>
              <w:t xml:space="preserve">   used in computing net income per share attributable to </w:t>
              <w:br/>
              <w:t>   common stockholders — diluted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105,068,046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108,632,159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Basic</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0.38</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0.20</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potentially dilutive common stock equivalents that have been excluded from the calculation of diluted weighted-average shares outstanding as their effect would have been anti-dilutive was as follows:</w:t>
      </w:r>
      <w:r>
        <w:rPr>
          <w:rFonts w:ascii="Times New Roman" w:hAnsi="Times New Roman"/>
          <w:color w:val="00002D"/>
          <w:sz w:val="20"/>
        </w:rPr>
        <w:t xml:space="preserve"> </w:t>
      </w:r>
    </w:p>
    <w:p>
      <w:pPr>
        <w:pStyle w:val="TextBody"/>
        <w:bidi w:val="0"/>
        <w:jc w:val="left"/>
        <w:rPr/>
      </w:pPr>
      <w:r>
        <w:rPr/>
        <w:t> </w:t>
      </w:r>
    </w:p>
    <w:tbl>
      <w:tblPr>
        <w:tblW w:w="6324" w:type="dxa"/>
        <w:jc w:val="left"/>
        <w:tblInd w:w="0" w:type="dxa"/>
        <w:tblLayout w:type="fixed"/>
        <w:tblCellMar>
          <w:top w:w="28" w:type="dxa"/>
          <w:left w:w="28" w:type="dxa"/>
          <w:bottom w:w="28" w:type="dxa"/>
          <w:right w:w="28" w:type="dxa"/>
        </w:tblCellMar>
      </w:tblPr>
      <w:tblGrid>
        <w:gridCol w:w="3451"/>
        <w:gridCol w:w="146"/>
        <w:gridCol w:w="146"/>
        <w:gridCol w:w="886"/>
        <w:gridCol w:w="146"/>
        <w:gridCol w:w="146"/>
        <w:gridCol w:w="146"/>
        <w:gridCol w:w="106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 options outstanding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360,751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537,981</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Restricted stock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1,178,036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11. Income Taxes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March 31, 2025 and 2024, the Company recognized an income tax provision of $9,506</w:t>
      </w:r>
      <w:r>
        <w:rPr>
          <w:rFonts w:ascii="Times New Roman" w:hAnsi="Times New Roman"/>
          <w:color w:val="00002D"/>
          <w:sz w:val="20"/>
        </w:rPr>
        <w:t xml:space="preserve"> </w:t>
      </w:r>
      <w:r>
        <w:rPr>
          <w:rFonts w:ascii="Outfit;sans-serif" w:hAnsi="Outfit;sans-serif"/>
          <w:color w:val="00002D"/>
          <w:sz w:val="20"/>
        </w:rPr>
        <w:t>and $8,384, respectively, representing an effective tax rate of 19.6%</w:t>
      </w:r>
      <w:r>
        <w:rPr>
          <w:rFonts w:ascii="Times New Roman" w:hAnsi="Times New Roman"/>
          <w:color w:val="00002D"/>
          <w:sz w:val="20"/>
        </w:rPr>
        <w:t xml:space="preserve"> </w:t>
      </w:r>
      <w:r>
        <w:rPr>
          <w:rFonts w:ascii="Outfit;sans-serif" w:hAnsi="Outfit;sans-serif"/>
          <w:color w:val="00002D"/>
          <w:sz w:val="20"/>
        </w:rPr>
        <w:t>and 28.2%, respectively.</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effective tax rate for the three months ended March 31, 2025, was less than the statutory tax rate of 21%, principally due to federal and state research and development tax credits and discrete stock compensation windfalls, partially offset by state and local income taxes, the Section 162(m) excess officer compensation limitation, and non-deductible meals and commuter fringe benefits. The effective tax rate for the three months ended March 31, 2024, was greater than the statutory tax rate of 21% principally due to state and local income taxes, the Section 162(m) excess officer compensation limitation, and non-deductible meals and commuter fringe benefits, partially offset by federal and state research development tax credits.</w:t>
      </w:r>
    </w:p>
    <w:p>
      <w:pPr>
        <w:pStyle w:val="TextBody"/>
        <w:bidi w:val="0"/>
        <w:spacing w:before="240" w:after="283"/>
        <w:jc w:val="both"/>
        <w:rPr>
          <w:rFonts w:ascii="Times New Roman" w:hAnsi="Times New Roman"/>
          <w:sz w:val="20"/>
        </w:rPr>
      </w:pPr>
      <w:r>
        <w:rPr>
          <w:rFonts w:ascii="Outfit;sans-serif" w:hAnsi="Outfit;sans-serif"/>
          <w:color w:val="00002D"/>
          <w:sz w:val="20"/>
        </w:rPr>
        <w:t>The Company and its subsidiaries file income tax returns in the U.S. federal jurisdiction, various state jurisdictions, and in various foreign jurisdictions. The Company’s tax filings remain subject to audits by applicable tax authorities for a certain length of time following the tax year to which those filings relate. Tax years 2021</w:t>
      </w:r>
      <w:r>
        <w:rPr>
          <w:rFonts w:ascii="Times New Roman" w:hAnsi="Times New Roman"/>
          <w:color w:val="00002D"/>
          <w:sz w:val="20"/>
        </w:rPr>
        <w:t xml:space="preserve"> </w:t>
      </w:r>
      <w:r>
        <w:rPr>
          <w:rFonts w:ascii="Outfit;sans-serif" w:hAnsi="Outfit;sans-serif"/>
          <w:color w:val="00002D"/>
          <w:sz w:val="20"/>
        </w:rPr>
        <w:t>and forward generally remain open for examination for federal and state tax purposes. Tax years 2020</w:t>
      </w:r>
      <w:r>
        <w:rPr>
          <w:rFonts w:ascii="Times New Roman" w:hAnsi="Times New Roman"/>
          <w:color w:val="00002D"/>
          <w:sz w:val="20"/>
        </w:rPr>
        <w:t xml:space="preserve"> </w:t>
      </w:r>
      <w:r>
        <w:rPr>
          <w:rFonts w:ascii="Outfit;sans-serif" w:hAnsi="Outfit;sans-serif"/>
          <w:color w:val="00002D"/>
          <w:sz w:val="20"/>
        </w:rPr>
        <w:t>and forward generally remain open for examination for foreign tax purposes.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12. Segment and Geographic Information</w:t>
      </w:r>
    </w:p>
    <w:p>
      <w:pPr>
        <w:pStyle w:val="TextBody"/>
        <w:bidi w:val="0"/>
        <w:spacing w:before="240" w:after="283"/>
        <w:jc w:val="both"/>
        <w:rPr>
          <w:rFonts w:ascii="Times New Roman" w:hAnsi="Times New Roman"/>
          <w:sz w:val="20"/>
        </w:rPr>
      </w:pPr>
      <w:r>
        <w:rPr>
          <w:rFonts w:ascii="Outfit;sans-serif" w:hAnsi="Outfit;sans-serif"/>
          <w:color w:val="00002D"/>
          <w:sz w:val="20"/>
        </w:rPr>
        <w:t>The Company has two</w:t>
      </w:r>
      <w:r>
        <w:rPr>
          <w:rFonts w:ascii="Times New Roman" w:hAnsi="Times New Roman"/>
          <w:color w:val="00002D"/>
          <w:sz w:val="20"/>
        </w:rPr>
        <w:t xml:space="preserve"> </w:t>
      </w:r>
      <w:r>
        <w:rPr>
          <w:rFonts w:ascii="Outfit;sans-serif" w:hAnsi="Outfit;sans-serif"/>
          <w:color w:val="00002D"/>
          <w:sz w:val="20"/>
        </w:rPr>
        <w:t>reportable segments, U.S. Marketplace and Digital Wholesale. Segment information is presented in the same manner as the Company’s chief operating decision maker (“CODM”), Jason Trevisan, Chief Executive Officer, reviews the Company’s operating results in assessing performance and allocating resources. The CODM reviews segment revenue and segment income (loss) from operations as a proxy for the performance of the Company’s operations. The CODM uses segment income (loss) from operations in the annual budgeting and monthly forecasting process. The CODM considers segment income (loss) from operations in analyses of the actual amounts against budgeted and forecasted values to evaluate the performance of each segment and to make decisions for the allocation of capital and other resources to each segment.</w:t>
      </w:r>
    </w:p>
    <w:p>
      <w:pPr>
        <w:pStyle w:val="TextBody"/>
        <w:bidi w:val="0"/>
        <w:spacing w:before="240" w:after="283"/>
        <w:jc w:val="both"/>
        <w:rPr>
          <w:rFonts w:ascii="Times New Roman" w:hAnsi="Times New Roman"/>
          <w:sz w:val="20"/>
        </w:rPr>
      </w:pPr>
      <w:r>
        <w:rPr>
          <w:rFonts w:ascii="Outfit;sans-serif" w:hAnsi="Outfit;sans-serif"/>
          <w:color w:val="00002D"/>
          <w:sz w:val="20"/>
        </w:rPr>
        <w:t>The U.S. Marketplace segment derives revenue from marketplace services from customers within the U.S. The Digital Wholesale segment derives revenue from Dealer-to-Dealer and IMCO services and products which are sold on the CarOffer platform. The Company also has two operating segments which are individually immaterial and, therefore, aggregated into the Other category to reconcile reportable segments to the Unaudited Condensed Consolidated Income Statements. The Other category derives revenue from marketplace services from customers outside of the U.S.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Revenue and costs discretely incurred by reportable segments, including depreciation and amortization, are included in the calculation of reportable segment income (loss) from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Company’s significant segment expenses consist of cost of revenue and sales and marketing expense. The Company’s other segment items consist of product, technology, and development expense and general and administrative expense. The Company has disclosed depreciation and amortization expense separately from other segment items to meet disclosure requirements.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Asset information by reportable segment is not provided to the CODM as asset information is assessed and reviewed on a consolidated basis.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March 31, 2025 and 2024, segment revenue, significant segment expenses, segment depreciation and amortization, segment income (loss) from operations, and the reconciliation from segment income (loss) from operations to total income before income taxes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26"/>
        <w:gridCol w:w="146"/>
        <w:gridCol w:w="290"/>
        <w:gridCol w:w="1141"/>
        <w:gridCol w:w="146"/>
        <w:gridCol w:w="146"/>
        <w:gridCol w:w="312"/>
        <w:gridCol w:w="1065"/>
        <w:gridCol w:w="181"/>
        <w:gridCol w:w="146"/>
        <w:gridCol w:w="226"/>
        <w:gridCol w:w="886"/>
        <w:gridCol w:w="794"/>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March 31,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208,151</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195,228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6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208,151</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17,007</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794"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24,083</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72,230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3,329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75,559</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4,132</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segment items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56,688</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3,687</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60,375</w:t>
            </w:r>
          </w:p>
        </w:tc>
        <w:tc>
          <w:tcPr>
            <w:tcW w:w="794"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145,447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18,702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164,149</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49,781</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44,002</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1,753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45,755</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income from operations to 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2,796</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48,551</w:t>
            </w:r>
          </w:p>
        </w:tc>
        <w:tc>
          <w:tcPr>
            <w:tcW w:w="79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pPr>
      <w:r>
        <w:rPr>
          <w:rFonts w:ascii="Outfit;sans-serif" w:hAnsi="Outfit;sans-serif"/>
          <w:color w:val="00002D"/>
          <w:sz w:val="16"/>
        </w:rPr>
        <w:t>For the three months ended March 31, 2025, U.S. Marketplace and Digital Wholesale cost of revenue includes depreciation and amortization expense of $1,686</w:t>
      </w:r>
      <w:r>
        <w:rPr>
          <w:color w:val="00002D"/>
        </w:rPr>
        <w:t xml:space="preserve"> </w:t>
      </w:r>
      <w:r>
        <w:rPr>
          <w:rFonts w:ascii="Outfit;sans-serif" w:hAnsi="Outfit;sans-serif"/>
          <w:color w:val="00002D"/>
          <w:sz w:val="16"/>
        </w:rPr>
        <w:t>and $425, respectively</w:t>
      </w:r>
      <w:r>
        <w:rPr>
          <w:rFonts w:ascii="Outfit;sans-serif" w:hAnsi="Outfit;sans-serif"/>
          <w:color w:val="00002D"/>
          <w:sz w:val="20"/>
        </w:rPr>
        <w: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726"/>
        <w:gridCol w:w="146"/>
        <w:gridCol w:w="290"/>
        <w:gridCol w:w="1141"/>
        <w:gridCol w:w="146"/>
        <w:gridCol w:w="146"/>
        <w:gridCol w:w="291"/>
        <w:gridCol w:w="1087"/>
        <w:gridCol w:w="181"/>
        <w:gridCol w:w="146"/>
        <w:gridCol w:w="226"/>
        <w:gridCol w:w="886"/>
        <w:gridCol w:w="793"/>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Three Months Ended March 31,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U.S. Marketplace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Digital Wholesale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172,988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201,565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172,988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28,577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201,565</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14,231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Less: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Outfit;sans-serif" w:hAnsi="Outfit;sans-serif"/>
                <w:color w:val="000000"/>
                <w:sz w:val="20"/>
              </w:rPr>
              <w:t>Cost of revenue</w:t>
            </w:r>
            <w:r>
              <w:rPr>
                <w:rFonts w:ascii="Outfit;sans-serif" w:hAnsi="Outfit;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26,450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39,887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67,008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5,885</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72,893</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2,715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segment items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56,698</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5,495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62,193</w:t>
            </w:r>
          </w:p>
        </w:tc>
        <w:tc>
          <w:tcPr>
            <w:tcW w:w="793"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138,771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38,917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177,688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34,217</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(10,340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23,877</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segment income (loss) from operations to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2,407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income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26,284</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Reconciliation of total income from operations to 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6" w:type="dxa"/>
            <w:tcBorders/>
            <w:shd w:fill="EEF2F7" w:val="clear"/>
            <w:tcMar>
              <w:top w:w="0" w:type="dxa"/>
              <w:left w:w="0" w:type="dxa"/>
              <w:bottom w:w="0" w:type="dxa"/>
              <w:right w:w="0" w:type="dxa"/>
            </w:tcMar>
            <w:vAlign w:val="center"/>
          </w:tcPr>
          <w:p>
            <w:pPr>
              <w:pStyle w:val="TableContents"/>
              <w:bidi w:val="0"/>
              <w:spacing w:before="0" w:after="283"/>
              <w:ind w:left="0" w:right="0" w:firstLine="600"/>
              <w:jc w:val="left"/>
              <w:rPr>
                <w:rFonts w:ascii="Outfit;sans-serif" w:hAnsi="Outfit;sans-serif"/>
                <w:color w:val="000000"/>
                <w:sz w:val="20"/>
              </w:rPr>
            </w:pPr>
            <w:r>
              <w:rPr>
                <w:rFonts w:ascii="Outfit;sans-serif" w:hAnsi="Outfit;sans-serif"/>
                <w:color w:val="000000"/>
                <w:sz w:val="20"/>
              </w:rPr>
              <w:t>Total 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378"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29,685</w:t>
            </w:r>
          </w:p>
        </w:tc>
        <w:tc>
          <w:tcPr>
            <w:tcW w:w="793"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sz w:val="20"/>
        </w:rPr>
      </w:pPr>
      <w:r>
        <w:rPr>
          <w:rFonts w:ascii="Outfit;sans-serif" w:hAnsi="Outfit;sans-serif"/>
          <w:color w:val="00002D"/>
          <w:sz w:val="16"/>
        </w:rPr>
        <w:t>For the three months ended March 31, 2024, U.S. Marketplace and Digital Wholesale cost of revenue includes depreciation and amortization expense of $1,369</w:t>
      </w:r>
      <w:r>
        <w:rPr>
          <w:rFonts w:ascii="Outfit;sans-serif" w:hAnsi="Outfit;sans-serif"/>
          <w:color w:val="00002D"/>
          <w:sz w:val="20"/>
        </w:rPr>
        <w:t xml:space="preserve"> </w:t>
      </w:r>
      <w:r>
        <w:rPr>
          <w:rFonts w:ascii="Outfit;sans-serif" w:hAnsi="Outfit;sans-serif"/>
          <w:color w:val="00002D"/>
          <w:sz w:val="16"/>
        </w:rPr>
        <w:t>and $3,194, respectively</w:t>
      </w:r>
      <w:r>
        <w:rPr>
          <w:rFonts w:ascii="Outfit;sans-serif" w:hAnsi="Outfit;sans-serif"/>
          <w:color w:val="00002D"/>
          <w:sz w:val="20"/>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and December 31, 2024, segment assets were as follows:</w:t>
      </w:r>
    </w:p>
    <w:p>
      <w:pPr>
        <w:pStyle w:val="TextBody"/>
        <w:bidi w:val="0"/>
        <w:jc w:val="both"/>
        <w:rPr/>
      </w:pPr>
      <w:r>
        <w:rPr/>
        <w:t> </w:t>
      </w:r>
    </w:p>
    <w:tbl>
      <w:tblPr>
        <w:tblW w:w="5567" w:type="dxa"/>
        <w:jc w:val="left"/>
        <w:tblInd w:w="0" w:type="dxa"/>
        <w:tblLayout w:type="fixed"/>
        <w:tblCellMar>
          <w:top w:w="28" w:type="dxa"/>
          <w:left w:w="28" w:type="dxa"/>
          <w:bottom w:w="28" w:type="dxa"/>
          <w:right w:w="28" w:type="dxa"/>
        </w:tblCellMar>
      </w:tblPr>
      <w:tblGrid>
        <w:gridCol w:w="2046"/>
        <w:gridCol w:w="146"/>
        <w:gridCol w:w="226"/>
        <w:gridCol w:w="886"/>
        <w:gridCol w:w="146"/>
        <w:gridCol w:w="146"/>
        <w:gridCol w:w="280"/>
        <w:gridCol w:w="1100"/>
        <w:gridCol w:w="5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w:t>
              <w:br/>
              <w:t>December 31,</w:t>
              <w:b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Segment Assets: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534,192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674,138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106,438</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108,890</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41,508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689,115</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100"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824,536</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revenue by geographical region were as follows:</w:t>
      </w:r>
      <w:r>
        <w:rPr>
          <w:rFonts w:ascii="Times New Roman" w:hAnsi="Times New Roman"/>
          <w:color w:val="00002D"/>
          <w:sz w:val="20"/>
        </w:rPr>
        <w:t xml:space="preserve"> </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3241"/>
        <w:gridCol w:w="146"/>
        <w:gridCol w:w="226"/>
        <w:gridCol w:w="886"/>
        <w:gridCol w:w="146"/>
        <w:gridCol w:w="146"/>
        <w:gridCol w:w="226"/>
        <w:gridCol w:w="886"/>
        <w:gridCol w:w="5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Revenue by Geographic Region: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208,151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201,565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17,007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14,231</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_item2"/>
      <w:bookmarkEnd w:id="11"/>
      <w:r>
        <w:rPr>
          <w:rFonts w:ascii="Outfit;sans-serif" w:hAnsi="Outfit;sans-serif"/>
          <w:b/>
          <w:color w:val="3465B0"/>
          <w:sz w:val="40"/>
        </w:rPr>
        <w:t xml:space="preserve">Item 2. Management’s Discussion and Analysis of </w:t>
      </w:r>
      <w:bookmarkStart w:id="12" w:name="item_2_managements_discussion_analysis_f"/>
      <w:bookmarkEnd w:id="12"/>
      <w:r>
        <w:rPr>
          <w:rFonts w:ascii="Outfit;sans-serif" w:hAnsi="Outfit;sans-serif"/>
          <w:b/>
          <w:color w:val="3465B0"/>
          <w:sz w:val="40"/>
        </w:rPr>
        <w:t>Financial Condition and Results of Operations.</w:t>
      </w:r>
    </w:p>
    <w:p>
      <w:pPr>
        <w:pStyle w:val="TextBody"/>
        <w:bidi w:val="0"/>
        <w:spacing w:before="240" w:after="283"/>
        <w:jc w:val="both"/>
        <w:rPr>
          <w:rFonts w:ascii="Times New Roman" w:hAnsi="Times New Roman"/>
          <w:sz w:val="20"/>
        </w:rPr>
      </w:pPr>
      <w:r>
        <w:rPr>
          <w:rFonts w:ascii="Outfit;sans-serif" w:hAnsi="Outfit;sans-serif"/>
          <w:i/>
          <w:color w:val="00002D"/>
          <w:sz w:val="20"/>
        </w:rPr>
        <w:t>You should read the following discussion and analysis of our financial condition and results of operations together with our unaudited interim condensed consolidated financial statements, or the Unaudited Condensed Consolidated Financial Statements, and the related notes thereto, included elsewhere in this Quarterly Report, and our consolidated financial statements and the related notes and other financial information included in our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For a discussion of important factors that could cause actual results to differ materially from the results described in or implied by the forward-looking statements contained in the following discussion and analysis you should review our Annual Report, including those cautionary statements set forth under Part I, Item 1A “Risk Factors,” and in Part II, Item 1A, “Risk Factors,” of this Quarterly Report. We qualify all of our forward-looking statements by such cautionary statements.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i/>
          <w:color w:val="00002D"/>
          <w:sz w:val="20"/>
        </w:rPr>
        <w:t>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U.S. generally accepted accounting principles, or GAAP.</w:t>
      </w:r>
      <w:r>
        <w:rPr>
          <w:rFonts w:ascii="Times New Roman" w:hAnsi="Times New Roman"/>
          <w:color w:val="00002D"/>
          <w:sz w:val="20"/>
        </w:rPr>
        <w:t xml:space="preserve"> </w:t>
      </w:r>
    </w:p>
    <w:p>
      <w:pPr>
        <w:pStyle w:val="TextBody"/>
        <w:bidi w:val="0"/>
        <w:spacing w:before="240" w:after="283"/>
        <w:jc w:val="both"/>
        <w:rPr>
          <w:rFonts w:ascii="Outfit;sans-serif" w:hAnsi="Outfit;sans-serif"/>
          <w:i/>
          <w:color w:val="00002D"/>
          <w:sz w:val="20"/>
        </w:rPr>
      </w:pPr>
      <w:r>
        <w:rPr>
          <w:rFonts w:ascii="Outfit;sans-serif" w:hAnsi="Outfit;sans-serif"/>
          <w:i/>
          <w:color w:val="00002D"/>
          <w:sz w:val="20"/>
        </w:rPr>
        <w:t>This section of this Quarterly Report discusses 2025 and 2024 items and period-to-period comparisons between 2025 and 2024. The period</w:t>
        <w:noBreakHyphen/>
        <w:t>to</w:t>
        <w:noBreakHyphen/>
        <w:t>period comparison of financial results is not necessarily indicative of future results.</w:t>
      </w:r>
    </w:p>
    <w:p>
      <w:pPr>
        <w:pStyle w:val="TextBody"/>
        <w:bidi w:val="0"/>
        <w:spacing w:before="240" w:after="283"/>
        <w:jc w:val="left"/>
        <w:rPr>
          <w:rFonts w:ascii="Times New Roman" w:hAnsi="Times New Roman"/>
          <w:sz w:val="20"/>
        </w:rPr>
      </w:pPr>
      <w:r>
        <w:rPr>
          <w:rFonts w:ascii="Outfit;sans-serif" w:hAnsi="Outfit;sans-serif"/>
          <w:b/>
          <w:color w:val="00002D"/>
          <w:sz w:val="32"/>
        </w:rPr>
        <w:t>Company Overview</w:t>
      </w:r>
      <w:r>
        <w:rPr>
          <w:rFonts w:ascii="Times New Roman" w:hAnsi="Times New Roman"/>
          <w:color w:val="00002D"/>
          <w:sz w:val="20"/>
        </w:rPr>
        <w:t xml:space="preserve"> </w:t>
      </w:r>
    </w:p>
    <w:p>
      <w:pPr>
        <w:pStyle w:val="TextBody"/>
        <w:bidi w:val="0"/>
        <w:spacing w:before="240" w:after="240"/>
        <w:jc w:val="both"/>
        <w:rPr>
          <w:rFonts w:ascii="Outfit;sans-serif" w:hAnsi="Outfit;sans-serif"/>
          <w:color w:val="00002D"/>
          <w:sz w:val="20"/>
        </w:rPr>
      </w:pPr>
      <w:r>
        <w:rPr>
          <w:rFonts w:ascii="Outfit;sans-serif" w:hAnsi="Outfit;sans-serif"/>
          <w:color w:val="00002D"/>
          <w:sz w:val="20"/>
        </w:rPr>
        <w:t>CarGurus is a multinational, online automotive platform for buying and selling vehicles that is building upon its industry-leading listings marketplace with both digital retail solutions and the CarOffer online wholesale platform. The CarGurus platform gives consumers the confidence to purchase and/or sell a vehicle either online or in person, and it gives dealerships the power to accurately price, effectively market, instantly acquire, and quickly sell vehicles, all with a nationwide reach. We use proprietary technology, search algorithms, and data analytics to bring trust, transparency, and competitive pricing to the automotive shopping experience.</w:t>
      </w:r>
    </w:p>
    <w:p>
      <w:pPr>
        <w:pStyle w:val="TextBody"/>
        <w:bidi w:val="0"/>
        <w:jc w:val="both"/>
        <w:rPr>
          <w:rFonts w:ascii="Outfit;sans-serif" w:hAnsi="Outfit;sans-serif"/>
          <w:color w:val="00002D"/>
          <w:sz w:val="20"/>
        </w:rPr>
      </w:pPr>
      <w:r>
        <w:rPr>
          <w:rFonts w:ascii="Outfit;sans-serif" w:hAnsi="Outfit;sans-serif"/>
          <w:color w:val="00002D"/>
          <w:sz w:val="20"/>
        </w:rPr>
        <w:t>We operate the following marketplaces:</w:t>
      </w:r>
    </w:p>
    <w:p>
      <w:pPr>
        <w:pStyle w:val="TextBody"/>
        <w:bidi w:val="0"/>
        <w:jc w:val="both"/>
        <w:rPr/>
      </w:pPr>
      <w:r>
        <w:rPr/>
        <w:t> </w:t>
      </w:r>
    </w:p>
    <w:tbl>
      <w:tblPr>
        <w:tblW w:w="6683" w:type="dxa"/>
        <w:jc w:val="left"/>
        <w:tblInd w:w="0" w:type="dxa"/>
        <w:tblLayout w:type="fixed"/>
        <w:tblCellMar>
          <w:top w:w="28" w:type="dxa"/>
          <w:left w:w="28" w:type="dxa"/>
          <w:bottom w:w="28" w:type="dxa"/>
          <w:right w:w="28" w:type="dxa"/>
        </w:tblCellMar>
      </w:tblPr>
      <w:tblGrid>
        <w:gridCol w:w="3181"/>
        <w:gridCol w:w="1811"/>
        <w:gridCol w:w="1691"/>
      </w:tblGrid>
      <w:tr>
        <w:trPr/>
        <w:tc>
          <w:tcPr>
            <w:tcW w:w="3181"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 U.K., and Canada</w:t>
            </w:r>
          </w:p>
        </w:tc>
        <w:tc>
          <w:tcPr>
            <w:tcW w:w="181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U.S.</w:t>
            </w:r>
          </w:p>
        </w:tc>
        <w:tc>
          <w:tcPr>
            <w:tcW w:w="1691" w:type="dxa"/>
            <w:tcBorders/>
            <w:shd w:fill="E4F5FE"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3465B0"/>
                <w:sz w:val="24"/>
              </w:rPr>
            </w:pPr>
            <w:r>
              <w:rPr>
                <w:rFonts w:ascii="Outfit;sans-serif" w:hAnsi="Outfit;sans-serif"/>
                <w:b/>
                <w:color w:val="3465B0"/>
                <w:sz w:val="24"/>
              </w:rPr>
              <w:t>U.K.</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47750"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180975"/>
                          </a:xfrm>
                          <a:prstGeom prst="rect">
                            <a:avLst/>
                          </a:prstGeom>
                        </pic:spPr>
                      </pic:pic>
                    </a:graphicData>
                  </a:graphic>
                </wp:inline>
              </w:drawing>
            </w:r>
          </w:p>
        </w:tc>
        <w:tc>
          <w:tcPr>
            <w:tcW w:w="18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5727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57275" cy="209550"/>
                          </a:xfrm>
                          <a:prstGeom prst="rect">
                            <a:avLst/>
                          </a:prstGeom>
                        </pic:spPr>
                      </pic:pic>
                    </a:graphicData>
                  </a:graphic>
                </wp:inline>
              </w:drawing>
            </w:r>
          </w:p>
        </w:tc>
        <w:tc>
          <w:tcPr>
            <w:tcW w:w="169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990600"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90600" cy="133350"/>
                          </a:xfrm>
                          <a:prstGeom prst="rect">
                            <a:avLst/>
                          </a:prstGeom>
                        </pic:spPr>
                      </pic:pic>
                    </a:graphicData>
                  </a:graphic>
                </wp:inline>
              </w:drawing>
            </w:r>
          </w:p>
        </w:tc>
      </w:tr>
      <w:tr>
        <w:trPr/>
        <w:tc>
          <w:tcPr>
            <w:tcW w:w="31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09537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95375" cy="200025"/>
                          </a:xfrm>
                          <a:prstGeom prst="rect">
                            <a:avLst/>
                          </a:prstGeom>
                        </pic:spPr>
                      </pic:pic>
                    </a:graphicData>
                  </a:graphic>
                </wp:inline>
              </w:drawing>
            </w:r>
          </w:p>
        </w:tc>
        <w:tc>
          <w:tcPr>
            <w:tcW w:w="16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Outfit;sans-serif" w:hAnsi="Outfit;sans-serif"/>
          <w:i/>
          <w:color w:val="000000"/>
          <w:sz w:val="16"/>
        </w:rPr>
      </w:pPr>
      <w:r>
        <w:rPr>
          <w:rFonts w:ascii="Outfit;sans-serif" w:hAnsi="Outfit;sans-serif"/>
          <w:i/>
          <w:color w:val="000000"/>
          <w:sz w:val="16"/>
        </w:rPr>
        <w:t>CarOffer is a subsidiary of CarGurus and operates as an independent brand.</w:t>
      </w:r>
    </w:p>
    <w:p>
      <w:pPr>
        <w:pStyle w:val="TextBody"/>
        <w:bidi w:val="0"/>
        <w:jc w:val="left"/>
        <w:rPr>
          <w:rFonts w:ascii="Outfit;sans-serif" w:hAnsi="Outfit;sans-serif"/>
          <w:i/>
          <w:color w:val="000000"/>
          <w:sz w:val="16"/>
        </w:rPr>
      </w:pPr>
      <w:r>
        <w:rPr>
          <w:rFonts w:ascii="Outfit;sans-serif" w:hAnsi="Outfit;sans-serif"/>
          <w:i/>
          <w:color w:val="000000"/>
          <w:sz w:val="16"/>
        </w:rPr>
        <w:t>Autolist and PistonHeads operate as independent brands.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have subsidiaries in the U.S., Canada, Ireland, and the U.K. and we have two reportable segments, U.S. Marketplace and Digital Wholesale. See Note 12 of the Unaudited Condensed Consolidated Financial Statements included elsewhere in this Quarterly Report for further segment reporting and geographic information.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from (i) dealer subscriptions to our Listings packages and Real-time Performance Marketing, or RPM, our digital advertising suite, Digital Retail, and Sell My Car - Top Dealer Offers, (ii) advertising revenue from auto manufacturers and other auto-related brand advertisers, and (iii) revenue from partnerships with financing services companies. We generate wholesale revenue primarily from (x) transaction fees earned from the purchase and sale of vehicles between dealers, or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(as defined below). We generate product revenue primarily from (A) aggregate proceeds received from the sale of vehicles to dealers that were acquired directly from customers, or Sell My Car - Instant Max Cash Offer, or IMCO transactions, and (B) proceeds received from the sale of vehicles that were acquired through arbitration.</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we generated revenue of $225.2 million, a 4% increase from $215.8 million of revenue for the three months ended March 31, 2024.</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we generated net income of $39.0 million and Adjusted EBITDA, a non-GAAP measure, of $66.3 million, compared to net income of $21.3 million and Adjusted EBITDA of $50.4 million for the three months ended March 31, 2024.</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See below for more information regarding our use and reconciliation of Adjusted EBITDA.</w:t>
      </w:r>
      <w:r>
        <w:rPr>
          <w:rFonts w:ascii="Times New Roman" w:hAnsi="Times New Roman"/>
          <w:color w:val="00002D"/>
          <w:sz w:val="20"/>
        </w:rPr>
        <w:t xml:space="preserve"> </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Key Business Metrics</w:t>
      </w:r>
    </w:p>
    <w:p>
      <w:pPr>
        <w:pStyle w:val="TextBody"/>
        <w:bidi w:val="0"/>
        <w:spacing w:before="240" w:after="283"/>
        <w:jc w:val="both"/>
        <w:rPr>
          <w:rFonts w:ascii="Times New Roman" w:hAnsi="Times New Roman"/>
          <w:sz w:val="20"/>
        </w:rPr>
      </w:pPr>
      <w:r>
        <w:rPr>
          <w:rFonts w:ascii="Outfit;sans-serif" w:hAnsi="Outfit;sans-serif"/>
          <w:color w:val="00002D"/>
          <w:sz w:val="20"/>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as applicable, for the U.S. and International geographic regions. The International region derives revenue from marketplace revenue from customers outside of the U.S. International markets perform differently from the U.S. market due to a variety of factors, including our operating history in each market, our rate of investment, market size, market maturity, competition, and other dynamics unique to each country.</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Historically, we have used data from Google Universal Analytics, or Google Analytics, to measure two of our key business metrics: monthly unique users and monthly sessions. Effective July 1, 2024, Google Analytics 4, or GA4, replaced Google Analytics. The methodologies used in GA4 are different and not comparable to the methodologies used in Google Analytics. As discussed below, we also make certain adjustments to the GA4 data in order to improve the accuracy of the reported monthly unique users and monthly sessions. Due to the change in methodology, we are unable to provide comparable monthly unique user and monthly session information for prior periods, including any periods prior to June 30, 2024.</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Monthly Unique Users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each of our websites (excluding the CarOffer website), we define a monthly unique user as an individual who has visited any such website and taken a Visitor Action (as defined below) within a calendar month, based on data as measured by GA4. We calculate average monthly unique users as the sum of the monthly unique users of each of our websites in a defined period, divided by the number of months in that period. Effective July 1, 2024, we count a unique user the first time a computer or mobile device with a unique device identifier accesses any of our websites or application during a calendar month and takes an action on such website or in such application, such as performing a search, visiting vehicle detail pages, and connecting with a dealer, which we refer to as a Visitor Action. If an individual accesses a website or application using a different device within a given month, the first Visitor Action taken by each such device is counted as a separate unique user. If an individual uses multiple browsers on a single device and/or clears their cookies and returns to our website or application and takes a Visitor Action within a calendar month, each such Visitor Action is counted as a separate unique user. We eliminate any duplicate unique users that may arise when users visit a webview within our native application. We view our average monthly unique users as a key indicator of the quality of our user experience, the effectiveness of our advertising and traffic acquisition, and the strength of our brand awareness. Measuring unique users is important to us and we believe it provides useful information to our investors because our marketplace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pStyle w:val="TextBody"/>
        <w:bidi w:val="0"/>
        <w:jc w:val="both"/>
        <w:rPr/>
      </w:pPr>
      <w:r>
        <w:rPr/>
        <w:t> </w:t>
      </w:r>
    </w:p>
    <w:tbl>
      <w:tblPr>
        <w:tblW w:w="5290" w:type="dxa"/>
        <w:jc w:val="left"/>
        <w:tblInd w:w="0" w:type="dxa"/>
        <w:tblLayout w:type="fixed"/>
        <w:tblCellMar>
          <w:top w:w="28" w:type="dxa"/>
          <w:left w:w="28" w:type="dxa"/>
          <w:bottom w:w="28" w:type="dxa"/>
          <w:right w:w="28" w:type="dxa"/>
        </w:tblCellMar>
      </w:tblPr>
      <w:tblGrid>
        <w:gridCol w:w="3001"/>
        <w:gridCol w:w="146"/>
        <w:gridCol w:w="156"/>
        <w:gridCol w:w="821"/>
        <w:gridCol w:w="156"/>
        <w:gridCol w:w="156"/>
        <w:gridCol w:w="854"/>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Unique Users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35,012</w:t>
            </w:r>
          </w:p>
        </w:tc>
        <w:tc>
          <w:tcPr>
            <w:tcW w:w="1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10,630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30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45,642</w:t>
            </w:r>
          </w:p>
        </w:tc>
        <w:tc>
          <w:tcPr>
            <w:tcW w:w="15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5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spacing w:before="120" w:after="283"/>
        <w:jc w:val="both"/>
        <w:rPr>
          <w:rFonts w:ascii="Outfit;sans-serif" w:hAnsi="Outfit;sans-serif"/>
          <w:color w:val="00002D"/>
          <w:sz w:val="16"/>
        </w:rPr>
      </w:pPr>
      <w:r>
        <w:rPr>
          <w:rFonts w:ascii="Outfit;sans-serif" w:hAnsi="Outfit;sans-serif"/>
          <w:color w:val="00002D"/>
          <w:sz w:val="16"/>
        </w:rPr>
        <w:t>(1) As a result of the change from Google Analytics to GA4, we are unable to provide comparable monthly unique user information for this period.</w:t>
      </w:r>
    </w:p>
    <w:p>
      <w:pPr>
        <w:pStyle w:val="TextBody"/>
        <w:bidi w:val="0"/>
        <w:spacing w:before="240" w:after="283"/>
        <w:jc w:val="both"/>
        <w:rPr>
          <w:rFonts w:ascii="Times New Roman" w:hAnsi="Times New Roman"/>
          <w:sz w:val="20"/>
        </w:rPr>
      </w:pPr>
      <w:r>
        <w:rPr>
          <w:rFonts w:ascii="Outfit;sans-serif" w:hAnsi="Outfit;sans-serif"/>
          <w:b/>
          <w:color w:val="3465B0"/>
          <w:sz w:val="24"/>
        </w:rPr>
        <w:t>Monthly Sessions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monthly sessions as the number of distinct visits to our websites (excluding the CarOffer website) that include a Visitor Action that take place each month within a given time frame, as measured and defined by GA4. We calculate average monthly sessions as the sum of the monthly sessions in a defined period, divided by the number of months in that period. Effective July 1, 2024, a session is defined as beginning with the first Visitor Action from a computer or mobile device and ending at the earliest of when a user closes their browser window or after 30 minutes of inactivity. We eliminate any duplicate monthly sessions that may arise when users visit a webview within our native application. We believe that measuring the volume of sessions in a time period, when considered in conjunction with the number of unique users in that time period, is an important indicator to us of consumer satisfaction and engagement with our marketplace, and we believe it provides useful information to our investors because the more satisfied and engaged consumers we have, the more valuable our service is to dealers.</w:t>
      </w:r>
    </w:p>
    <w:p>
      <w:pPr>
        <w:pStyle w:val="TextBody"/>
        <w:bidi w:val="0"/>
        <w:jc w:val="both"/>
        <w:rPr/>
      </w:pPr>
      <w:r>
        <w:rPr/>
        <w:t> </w:t>
      </w:r>
    </w:p>
    <w:tbl>
      <w:tblPr>
        <w:tblW w:w="4884" w:type="dxa"/>
        <w:jc w:val="left"/>
        <w:tblInd w:w="0" w:type="dxa"/>
        <w:tblLayout w:type="fixed"/>
        <w:tblCellMar>
          <w:top w:w="28" w:type="dxa"/>
          <w:left w:w="28" w:type="dxa"/>
          <w:bottom w:w="28" w:type="dxa"/>
          <w:right w:w="28" w:type="dxa"/>
        </w:tblCellMar>
      </w:tblPr>
      <w:tblGrid>
        <w:gridCol w:w="2596"/>
        <w:gridCol w:w="146"/>
        <w:gridCol w:w="147"/>
        <w:gridCol w:w="896"/>
        <w:gridCol w:w="147"/>
        <w:gridCol w:w="147"/>
        <w:gridCol w:w="805"/>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Average Monthly Sessions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2024</w:t>
            </w:r>
            <w:r>
              <w:rPr>
                <w:rFonts w:ascii="Outfit;sans-serif" w:hAnsi="Outfit;sans-serif"/>
                <w:b/>
                <w:color w:val="000000"/>
                <w:sz w:val="11"/>
              </w:rPr>
              <w:t>(1)</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2"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85,716</w:t>
            </w:r>
          </w:p>
        </w:tc>
        <w:tc>
          <w:tcPr>
            <w:tcW w:w="14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22,225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Outfit;sans-serif" w:hAnsi="Outfit;sans-serif"/>
                <w:color w:val="000000"/>
                <w:sz w:val="20"/>
              </w:rPr>
            </w:pPr>
            <w:r>
              <w:rPr>
                <w:rFonts w:ascii="Outfit;sans-serif" w:hAnsi="Outfit;sans-serif"/>
                <w:color w:val="000000"/>
                <w:sz w:val="20"/>
              </w:rPr>
              <w:t>N/A</w:t>
            </w:r>
          </w:p>
        </w:tc>
      </w:tr>
      <w:tr>
        <w:trPr/>
        <w:tc>
          <w:tcPr>
            <w:tcW w:w="259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107,941</w:t>
            </w:r>
          </w:p>
        </w:tc>
        <w:tc>
          <w:tcPr>
            <w:tcW w:w="147"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7"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N/A</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(1) As a result of the change from Google Analytics to GA4, we are unable to provide comparable monthly sessions information for this period.</w:t>
      </w:r>
    </w:p>
    <w:p>
      <w:pPr>
        <w:pStyle w:val="TextBody"/>
        <w:bidi w:val="0"/>
        <w:spacing w:before="240" w:after="283"/>
        <w:jc w:val="both"/>
        <w:rPr>
          <w:rFonts w:ascii="Times New Roman" w:hAnsi="Times New Roman"/>
          <w:sz w:val="20"/>
        </w:rPr>
      </w:pPr>
      <w:r>
        <w:rPr>
          <w:rFonts w:ascii="Outfit;sans-serif" w:hAnsi="Outfit;sans-serif"/>
          <w:b/>
          <w:color w:val="3465B0"/>
          <w:sz w:val="24"/>
        </w:rPr>
        <w:t>Number of Paying Dealers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 paying dealer as a dealer account with an active, paid marketplace subscription at the end of a defined period. The number of paying dealers we have is important to us and we believe it provides valuable information to investors because it is indicative of the value proposition of our marketplace products, as well as our sales and marketing success and opportunity, including our ability to retain paying dealers and develop new dealer relationships.</w:t>
      </w:r>
    </w:p>
    <w:p>
      <w:pPr>
        <w:pStyle w:val="TextBody"/>
        <w:bidi w:val="0"/>
        <w:jc w:val="both"/>
        <w:rPr/>
      </w:pPr>
      <w:r>
        <w:rPr/>
        <w:t> </w:t>
      </w:r>
    </w:p>
    <w:tbl>
      <w:tblPr>
        <w:tblW w:w="5189" w:type="dxa"/>
        <w:jc w:val="left"/>
        <w:tblInd w:w="0" w:type="dxa"/>
        <w:tblLayout w:type="fixed"/>
        <w:tblCellMar>
          <w:top w:w="28" w:type="dxa"/>
          <w:left w:w="28" w:type="dxa"/>
          <w:bottom w:w="28" w:type="dxa"/>
          <w:right w:w="28" w:type="dxa"/>
        </w:tblCellMar>
      </w:tblPr>
      <w:tblGrid>
        <w:gridCol w:w="2536"/>
        <w:gridCol w:w="146"/>
        <w:gridCol w:w="146"/>
        <w:gridCol w:w="766"/>
        <w:gridCol w:w="146"/>
        <w:gridCol w:w="146"/>
        <w:gridCol w:w="146"/>
        <w:gridCol w:w="766"/>
        <w:gridCol w:w="3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 of Paying Dealers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25,153</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24,419</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32,372</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31,175</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Transactions</w:t>
      </w:r>
    </w:p>
    <w:p>
      <w:pPr>
        <w:pStyle w:val="TextBody"/>
        <w:bidi w:val="0"/>
        <w:spacing w:before="240" w:after="283"/>
        <w:jc w:val="both"/>
        <w:rPr>
          <w:rFonts w:ascii="Times New Roman" w:hAnsi="Times New Roman"/>
          <w:sz w:val="20"/>
        </w:rPr>
      </w:pPr>
      <w:r>
        <w:rPr>
          <w:rFonts w:ascii="Outfit;sans-serif" w:hAnsi="Outfit;sans-serif"/>
          <w:color w:val="00002D"/>
          <w:sz w:val="20"/>
        </w:rPr>
        <w:t xml:space="preserve">We define Transactions within the Digital Wholesale segment as the number of vehicles processed from car dealers, consumers, and other marketplaces through the CarOffer website within the defined period. Transactions consists of each unique vehicle (based on vehicle identification number) that reaches </w:t>
      </w:r>
      <w:r>
        <w:rPr>
          <w:rFonts w:ascii="Times New Roman" w:hAnsi="Times New Roman"/>
          <w:color w:val="000000"/>
          <w:sz w:val="20"/>
        </w:rPr>
        <w:t>“</w:t>
      </w:r>
      <w:r>
        <w:rPr>
          <w:rFonts w:ascii="Outfit;sans-serif" w:hAnsi="Outfit;sans-serif"/>
          <w:color w:val="00002D"/>
          <w:sz w:val="20"/>
        </w:rPr>
        <w:t>sold and invoiced” status on the CarOffer website within the defined period, including vehicles sold to car dealers, vehicles sold at third-party auctions, vehicles ultimately sold to a different buyer, and vehicles that are returned to their owners without completion of a sale transaction. We exclude vehicles processed within CarOffer’s intra-group trading solution (Group Trade) from the definition of Transactions, and we only count any unique vehicle once even if it reaches sold status multiple times. The Digital Wholesale segment includes Dealer-to-Dealer transactions and IMCO transactions. We view Transactions as a key business metric, and we believe it provides useful information to investors, because it provides insight into growth and revenue for the Digital Wholesale segment. Transactions drive a significant portion of Digital Wholesale segment revenue. We believe growth in Transactions demonstrates consumer and dealer utilization and our market share penetration in the Digital Wholesale segment.</w:t>
      </w:r>
    </w:p>
    <w:p>
      <w:pPr>
        <w:pStyle w:val="TextBody"/>
        <w:bidi w:val="0"/>
        <w:jc w:val="both"/>
        <w:rPr/>
      </w:pPr>
      <w:r>
        <w:rPr/>
        <w:t> </w:t>
      </w:r>
    </w:p>
    <w:tbl>
      <w:tblPr>
        <w:tblW w:w="3800" w:type="dxa"/>
        <w:jc w:val="left"/>
        <w:tblInd w:w="0" w:type="dxa"/>
        <w:tblLayout w:type="fixed"/>
        <w:tblCellMar>
          <w:top w:w="28" w:type="dxa"/>
          <w:left w:w="28" w:type="dxa"/>
          <w:bottom w:w="28" w:type="dxa"/>
          <w:right w:w="28" w:type="dxa"/>
        </w:tblCellMar>
      </w:tblPr>
      <w:tblGrid>
        <w:gridCol w:w="1366"/>
        <w:gridCol w:w="146"/>
        <w:gridCol w:w="153"/>
        <w:gridCol w:w="679"/>
        <w:gridCol w:w="153"/>
        <w:gridCol w:w="153"/>
        <w:gridCol w:w="153"/>
        <w:gridCol w:w="806"/>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5,209</w:t>
            </w:r>
          </w:p>
        </w:tc>
        <w:tc>
          <w:tcPr>
            <w:tcW w:w="15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10,302</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Outfit;sans-serif" w:hAnsi="Outfit;sans-serif"/>
          <w:b/>
          <w:color w:val="3465B0"/>
          <w:sz w:val="24"/>
        </w:rPr>
        <w:t>Quarterly Average Revenue per Subscribing Dealer (QARSD)</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QARSD, which is measured at the end of a fiscal quarter, as the marketplace revenue primarily from subscriptions to our Listings packages and RPM, our digital advertising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information is important to us, and we believe it provides useful information to investors, because we believe that our ability to grow QARSD is an indicator of the value proposition of our products and the return on investment, or ROI, that our paying dealers realize from our products. In addition, increases in QARSD, which we believe reflect the value of exposure to our engaged audience in relation to subscription cost, are driven in part by our ability to grow the volume of connections to our users and the quality of those connections, which result in increased opportunity to upsell package levels and cross-sell additional products to our paying dealers.</w:t>
      </w:r>
    </w:p>
    <w:p>
      <w:pPr>
        <w:pStyle w:val="TextBody"/>
        <w:bidi w:val="0"/>
        <w:jc w:val="both"/>
        <w:rPr/>
      </w:pPr>
      <w:r>
        <w:rPr/>
        <w:t> </w:t>
      </w:r>
    </w:p>
    <w:tbl>
      <w:tblPr>
        <w:tblW w:w="8106" w:type="dxa"/>
        <w:jc w:val="left"/>
        <w:tblInd w:w="0" w:type="dxa"/>
        <w:tblLayout w:type="fixed"/>
        <w:tblCellMar>
          <w:top w:w="28" w:type="dxa"/>
          <w:left w:w="28" w:type="dxa"/>
          <w:bottom w:w="28" w:type="dxa"/>
          <w:right w:w="28" w:type="dxa"/>
        </w:tblCellMar>
      </w:tblPr>
      <w:tblGrid>
        <w:gridCol w:w="5671"/>
        <w:gridCol w:w="146"/>
        <w:gridCol w:w="233"/>
        <w:gridCol w:w="666"/>
        <w:gridCol w:w="150"/>
        <w:gridCol w:w="150"/>
        <w:gridCol w:w="233"/>
        <w:gridCol w:w="666"/>
        <w:gridCol w:w="1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Quarterly Average Revenue per Subscribing Dealer (QARSD)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7,369</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6,702</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2,073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Consolidated</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6,173</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5,664</w:t>
            </w:r>
          </w:p>
        </w:tc>
        <w:tc>
          <w:tcPr>
            <w:tcW w:w="1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Adjusted EBITDA</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To provide investors with additional information regarding our financial results, we have presented within this Quarterly Report Adjusted EBITDA, which is a non</w:t>
        <w:noBreakHyphen/>
        <w:t>GAAP financial measure. This non</w:t>
        <w:noBreakHyphen/>
        <w:t>GAAP financial measure is not based on any standardized methodology prescribed by GAAP, and is not necessarily comparable to any similarly titled measures presented by other companies.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define Adjusted EBITDA as net income, adjusted to exclude: depreciation and amortization, stock</w:t>
        <w:noBreakHyphen/>
        <w:t>based compensation expense, transaction-related expenses, other income, net, and provision for income taxes.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use Adjusted EBITDA within this Quarterly Report because it is a key measure used by our management and Board of Directors to understand and evaluate our operating performance, generate future operating plans, and make strategic decisions regarding the allocation of capital.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noBreakHyphen/>
        <w:t>making.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depreciation and amortization expense and, although these are non</w:t>
        <w:noBreakHyphen/>
        <w:t>cash expenses, the assets being depreciated may have to be replaced in the future;</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stock</w:t>
        <w:noBreakHyphen/>
        <w:t>based compensation expense, which will be, for the foreseeable future, a significant recurring expense for our business and an important part of our compensation strategy;</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transaction-related expenses incurred by us during a reporting period, which are inclusive of certain transaction and integration costs associated with our 2023 acquisition of the remaining minority equity interests in CarOffer and which may not be reflective of our operational performance during such period, for acquisitions that have been completed as of the filing date of our annual or quarterly report (as applicable) relating to such period;</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other income, net, which consists primarily of interest income earned on our cash, cash equivalents, and foreign exchange gains and losses;</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Adjusted EBITDA excludes the provision for income taxes; and</w:t>
      </w:r>
    </w:p>
    <w:p>
      <w:pPr>
        <w:pStyle w:val="TextBody"/>
        <w:bidi w:val="0"/>
        <w:spacing w:before="240" w:after="283"/>
        <w:jc w:val="both"/>
        <w:rPr>
          <w:color w:val="00002D"/>
        </w:rPr>
      </w:pPr>
      <w:r>
        <w:rPr>
          <w:color w:val="00002D"/>
        </w:rPr>
        <w: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companies, including companies in our industry, may calculate Adjusted EBITDA differently, which reduces its usefulness as a comparative measure.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Because of these limitations, we consider, and you should consider, Adjusted EBITDA together with other operating and financial performance measures presented in accordance with GAAP.</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March 31, 2025 and 2024, the following table presents a reconciliation of Adjusted EBITDA to net income, the most directly comparable measure calculated in accordance with GAAP for each of the periods presented.</w:t>
      </w:r>
    </w:p>
    <w:p>
      <w:pPr>
        <w:pStyle w:val="TextBody"/>
        <w:bidi w:val="0"/>
        <w:jc w:val="both"/>
        <w:rPr/>
      </w:pPr>
      <w:r>
        <w:rPr/>
        <w:t> </w:t>
      </w:r>
    </w:p>
    <w:tbl>
      <w:tblPr>
        <w:tblW w:w="6629" w:type="dxa"/>
        <w:jc w:val="left"/>
        <w:tblInd w:w="0" w:type="dxa"/>
        <w:tblLayout w:type="fixed"/>
        <w:tblCellMar>
          <w:top w:w="28" w:type="dxa"/>
          <w:left w:w="28" w:type="dxa"/>
          <w:bottom w:w="28" w:type="dxa"/>
          <w:right w:w="28" w:type="dxa"/>
        </w:tblCellMar>
      </w:tblPr>
      <w:tblGrid>
        <w:gridCol w:w="3946"/>
        <w:gridCol w:w="146"/>
        <w:gridCol w:w="226"/>
        <w:gridCol w:w="766"/>
        <w:gridCol w:w="181"/>
        <w:gridCol w:w="146"/>
        <w:gridCol w:w="226"/>
        <w:gridCol w:w="766"/>
        <w:gridCol w:w="22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Reconciliation of Adjusted EBITDA:</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6,554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7,481</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Transaction-related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1,087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811</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94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9,506</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8,384</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66,296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50,398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Components of Unaudited Condensed Consolidated Income Statements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derive our revenue from marketplace revenue, wholesale revenue, and product revenue. Marketplace revenue is included in the U.S. Marketplace segment and Other category of segment reporting. Wholesale revenue and product revenue are included in the Digital Wholesale segment. We generate marketplace revenue from (i) dealer subscriptions to our Listings packages, RPM, our digital advertising suite, Digital Retail, and Top Dealer Offers, (ii) advertising revenue from auto manufacturers and other auto</w:t>
        <w:noBreakHyphen/>
        <w:t>related brand advertisers, and (iii) revenue from partnerships with financing services companies. We generate wholesale revenue primarily from (x) transaction fees earned from Dealer-to-Dealer transactions, (y) transaction fees earned from the sale of vehicles to dealers that we acquire at other marketplaces, and (z) transaction fees earned from performing inspection and transportation services, inclusive of Dealer-to-Dealer transactions, other marketplace-to-dealer transactions, and IMCO transactions. We generate product revenue primarily from (A) aggregate proceeds received from the sale of vehicles that were acquired through IMCO transactions, and (B) proceeds received from the sale of vehicles that were acquired through arbitration.</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Marketplace Revenue</w:t>
      </w:r>
    </w:p>
    <w:p>
      <w:pPr>
        <w:pStyle w:val="TextBody"/>
        <w:bidi w:val="0"/>
        <w:spacing w:before="240" w:after="283"/>
        <w:jc w:val="both"/>
        <w:rPr>
          <w:rFonts w:ascii="Times New Roman" w:hAnsi="Times New Roman"/>
          <w:sz w:val="20"/>
        </w:rPr>
      </w:pPr>
      <w:r>
        <w:rPr>
          <w:rFonts w:ascii="Outfit;sans-serif" w:hAnsi="Outfit;sans-serif"/>
          <w:color w:val="00002D"/>
          <w:sz w:val="20"/>
        </w:rPr>
        <w:t>We offer multiple types of marketplace Listings packages to our dealers for our CarGurus U.S. platform (availability varies on our other marketplaces): Restricted Listings, which is free; and various levels of Listings packages, which each require a paid subscription under a monthly, quarterly, semiannual, or annual subscription basis.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Our subscriptions for customers generally auto-renew on a monthly basis and are cancellable by dealers with 30 days’ advance notice prior to the commencement of the applicable renewal term. Subscription pricing is determined based on a dealer’s inventory size, region, and our assessment of the connections and ROI the platform will provide them and is subject to discounts and/or fee reductions that we may offer from time to time. We also offer all dealers on the platform access to our Dealer Dashboard, which includes a performance summary, Dealer Insights tool, and user review management platform. Only dealers subscribing to a paid Listings package have access to the Pricing Tool, Market Analysis tool, and Instant Market Value Scan tool.</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We also offer paid Listings packages for the Autolist and PistonHeads websites.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 addition to displaying inventory in our marketplace and providing access to the Dealer Dashboard, we offer dealers subscribing to certain of our Listings packages other subscription advertising and customer acquisition products and enhancements marketed under RPM and our digital advertising suite. Through RPM, dealers can buy advertising that appears in our marketplace, on other sites on the internet, and/or on high-converting social media platforms. Such advertisements can be targeted by the user’s geography, search history, CarGurus website activity, and a number of other targeting factors, allowing dealers to increase their visibility with in-market consumers and drive qualified traffic for dealers.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 advertising products for the PistonHeads website.</w:t>
      </w:r>
    </w:p>
    <w:p>
      <w:pPr>
        <w:pStyle w:val="TextBody"/>
        <w:bidi w:val="0"/>
        <w:spacing w:before="240" w:after="283"/>
        <w:jc w:val="both"/>
        <w:rPr>
          <w:rFonts w:ascii="Times New Roman" w:hAnsi="Times New Roman"/>
          <w:sz w:val="20"/>
        </w:rPr>
      </w:pPr>
      <w:r>
        <w:rPr>
          <w:rFonts w:ascii="Outfit;sans-serif" w:hAnsi="Outfit;sans-serif"/>
          <w:color w:val="00002D"/>
          <w:sz w:val="20"/>
        </w:rPr>
        <w:t>We also offer dealers subscribing to certain of our Listings packages other subscription advertising and customer acquisition products and enhancements such as Digital Retail, which allows shoppers to complete much of the vehicle-purchase process online through the Dealers’ Listings page. Digital Retail is comprised of (i) the Digital Deal Platform, which gives dealers higher quality leads through upfront consumer-provided information; (ii) Geo Expansion, which expands the visibility of a dealer’s inventory in the search results beyond its local market; and (iii) Hard Pull Financing, which provides loan information.</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dealers subscribing to certain of our Listings packages other subscription advertising and customer acquisition products and enhancements such as Top Dealer Offers, which allows dealers to pay for leads to receive direct access to shoppers actively looking to sell their vehicles. Dealers can acquire inventory from shoppers who are looking to sell directly through the CarGurus Sell My Car page.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Marketplace revenue also consists of non-dealer advertising revenue from auto manufacturers and other auto-related brand advertisers sold on a cost-per-thousand impressions basis. An impression is an advertisement loaded on a web page. We also have advertising sold on a cost-per-click basis. Pricing is primarily based on advertisement size and position on our websites and mobile applications.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We do not provide minimum impression guarantees or other types of minimum guarantees in our contracts with customers. Advertising is also sold indirectly through revenue sharing arrangements with advertising exchange partners.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also offer non-dealer advertising products for the Autolist and PistonHeads websites.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also includes revenue from partnerships with certain financing services companies pursuant to which we enable eligible consumers on our CarGurus U.S. website to pre-qualify for financing on cars from dealerships that offer financing through such companies. We primarily generate revenue from these partnerships based on the number of funded loans from consumers who pre-qualify with our lending partners through our site.</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Wholesale Revenue</w:t>
      </w:r>
    </w:p>
    <w:p>
      <w:pPr>
        <w:pStyle w:val="TextBody"/>
        <w:bidi w:val="0"/>
        <w:spacing w:before="240" w:after="283"/>
        <w:jc w:val="both"/>
        <w:rPr>
          <w:rFonts w:ascii="Times New Roman" w:hAnsi="Times New Roman"/>
          <w:sz w:val="20"/>
        </w:rPr>
      </w:pPr>
      <w:r>
        <w:rPr>
          <w:rFonts w:ascii="Outfit;sans-serif" w:hAnsi="Outfit;sans-serif"/>
          <w:color w:val="00002D"/>
          <w:sz w:val="20"/>
        </w:rPr>
        <w:t>The CarOffer Matrix enables buying dealers to create standing buy orders and provides instant offers to selling dealers. Wholesale revenue includes transaction fees earned from Dealer-to-Dealer transactions, where we collect fees from both the buying and selling dealers. We also sell vehicles to dealers that we acquire at other marketplaces, where we collect a transaction fee from the buying dealers.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also includes fees earned from performing inspection and transportation services, where we collect fees from the buying dealer. Inspection and transportation service revenue is inclusive of Dealer-to-Dealer transactions, other marketplace-to-dealer transactions, and IMCO transactions.</w:t>
      </w:r>
    </w:p>
    <w:p>
      <w:pPr>
        <w:pStyle w:val="TextBody"/>
        <w:bidi w:val="0"/>
        <w:spacing w:before="240" w:after="283"/>
        <w:jc w:val="both"/>
        <w:rPr>
          <w:rFonts w:ascii="Times New Roman" w:hAnsi="Times New Roman"/>
          <w:sz w:val="20"/>
        </w:rPr>
      </w:pPr>
      <w:r>
        <w:rPr>
          <w:rFonts w:ascii="Outfit;sans-serif" w:hAnsi="Outfit;sans-serif"/>
          <w:color w:val="00002D"/>
          <w:sz w:val="20"/>
        </w:rPr>
        <w:t>Wholesale revenue also includes arbitration in which the vehicle is rematched to a new buyer and not acquired by us. Arbitration is the process by which we investigate and resolve claims from buying dealers.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also includes fees earned from certain guarantees offered to dealers (which include 45-Day Guarantee and OfferGuard products), where we collect fees from the buying dealer or selling dealer, as applicable.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CarOffer Matrix enables consumers who are selling vehicles to be instantly presented with an offer. Product revenue includes the aggregate proceeds received from the sale of vehicles through IMCO transactions, including vehicle sale price and transaction fees collected from the buying dealers. Product revenue also includes proceeds received from the sale of vehicles acquired through arbitration, including vehicle sale price and transaction fees collected from buying dealers. Arbitration is the process by which we investigate and resolve claims from buying dealers. We control the vehicle in these transactions and, therefore, act as the principal.</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Cost of Revenue</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Marketplace Cost of Revenue</w:t>
      </w:r>
    </w:p>
    <w:p>
      <w:pPr>
        <w:pStyle w:val="TextBody"/>
        <w:bidi w:val="0"/>
        <w:spacing w:before="240" w:after="283"/>
        <w:jc w:val="both"/>
        <w:rPr>
          <w:rFonts w:ascii="Times New Roman" w:hAnsi="Times New Roman"/>
          <w:sz w:val="20"/>
        </w:rPr>
      </w:pPr>
      <w:r>
        <w:rPr>
          <w:rFonts w:ascii="Outfit;sans-serif" w:hAnsi="Outfit;sans-serif"/>
          <w:color w:val="00002D"/>
          <w:sz w:val="20"/>
        </w:rPr>
        <w:t>Marketplace cost of revenue includes expenses related to supporting and hosting marketplace service offerings. These expenses include personnel and related expenses for our customer support team, including salaries, benefits, incentive compensation, and stock-based compensation; third-party service provider expenses such as advertising, data, and hosting expenses; amortization of developed technology; amortization of capitalized website development; amortization of capitalized hosting arrangements; and allocated overhead expenses.</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00002D"/>
          <w:sz w:val="20"/>
        </w:rPr>
        <w:t>We allocate overhead expenses, such as rent and facility expenses, software expense, and employee benefit expense, to all departments based on headcount. As such, general overhead expenses are reflected in cost of revenue and each operating expense category.</w:t>
      </w:r>
      <w:r>
        <w:rPr>
          <w:rFonts w:ascii="Times New Roman" w:hAnsi="Times New Roman"/>
          <w:color w:val="00002D"/>
          <w:sz w:val="20"/>
        </w:rPr>
        <w:t xml:space="preserve">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Wholesale Cost of Revenue</w:t>
      </w:r>
    </w:p>
    <w:p>
      <w:pPr>
        <w:pStyle w:val="TextBody"/>
        <w:bidi w:val="0"/>
        <w:spacing w:before="240" w:after="283"/>
        <w:jc w:val="both"/>
        <w:rPr>
          <w:rFonts w:ascii="Times New Roman" w:hAnsi="Times New Roman"/>
          <w:sz w:val="20"/>
        </w:rPr>
      </w:pPr>
      <w:r>
        <w:rPr>
          <w:rFonts w:ascii="Outfit;sans-serif" w:hAnsi="Outfit;sans-serif"/>
          <w:color w:val="00002D"/>
          <w:sz w:val="20"/>
        </w:rPr>
        <w:t>Wholesale cost of revenue includes expenses related to supporting and hosting Digital Wholesale service offerings, including Dealer-to-Dealer transactions and vehicles sold to dealers acquired at other marketplaces on the CarOffer Matrix. These expenses include vehicle transportation and inspection expenses; net losses on vehicles related to guarantees offered to dealers through Dealer-to-Dealer transactions; personnel and related expenses for employees directly involved in the fulfillment and support of transactions, including salaries, benefits, incentive compensation, and stock-based compensation; third-party service provider expenses; amortization of developed technology; amortization of capitalized website development; and allocated overhead expenses.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allocate overhead expenses, such as rent and facility expenses, software expense, and employee benefit expense, to all departments based on headcount. As such, general overhead expenses are reflected in cost of revenue and each operating expense category.</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Cost of Revenue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includes expenses related to vehicles sold to dealers through IMCO transactions and vehicles sold to dealers acquired through arbitration. These expenses include the cost of the vehicle and transportation expenses.</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Operating Expenses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Sales and Marketing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consists primarily of personnel and related expenses for our sales and marketing team, including salaries, benefits, incentive compensation, commissions, and stock-based compensation; expenses associated with consumer marketing, such as traffic acquisition, brand building, and public relations activities; expenses associated with dealer marketing, such as content marketing, customer and promotional events, and industry events; consulting services; software subscription expenses; travel expenses; amortization of capitalized hosting arrangements; and allocated overhead expenses. A portion of our commissions that are related to obtaining a new contract are capitalized and amortized over the estimated benefit period of customer relationships. Other than commissions amortization, all other sales and marketing expenses are expensed as incurred. We expect sales and marketing expense to fluctuate from quarter to quarter due to seasonality and as we respond to changes in the macroeconomic and competitive landscapes affecting our existing dealers, consumer audience, and brand awareness.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Product, Technology, and Development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consists primarily of personnel and related expenses for our research and development team, including salaries, benefits, incentive compensation, and stock-based compensation; software subscription expenses; consulting services; and allocated overhead expenses. Other than website development, internal-use software, and hosting arrangement expenses, research and development expenses are expensed as incurred. We expect product, technology, and development expense to fluctuate from quarter to quarter as we invest in additional engineering resources to develop innovative new solutions and make improvements to our existing platform.</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General and Administrative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consists primarily of personnel and related expenses for our executive, finance, legal, people and talent, and administrative teams, including salaries, benefits, incentive compensation, and stock-based compensation; expenses associated with professional fees for audit, tax, external legal, and consulting services; payment processing and billing expenses; insurance expenses; software subscription expenses; and allocated overhead expenses. General and administrative expense is expensed as incurred. We expect general and administrative expense to increase as we continue to scale our business.</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Depreciation and Amortization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consists of depreciation on property and equipment and amortization of intangible assets and internal-use software.</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Other Income, Net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Other income, net consists primarily of interest income earned on our cash and cash equivalents, as well as foreign exchange gains and losses.</w:t>
      </w:r>
    </w:p>
    <w:p>
      <w:pPr>
        <w:pStyle w:val="TextBody"/>
        <w:bidi w:val="0"/>
        <w:spacing w:before="240" w:after="283"/>
        <w:jc w:val="both"/>
        <w:rPr>
          <w:rFonts w:ascii="Times New Roman" w:hAnsi="Times New Roman"/>
          <w:sz w:val="20"/>
        </w:rPr>
      </w:pPr>
      <w:r>
        <w:rPr>
          <w:rFonts w:ascii="Outfit;sans-serif" w:hAnsi="Outfit;sans-serif"/>
          <w:b/>
          <w:color w:val="3465B0"/>
          <w:sz w:val="24"/>
        </w:rPr>
        <w:t>Provision for Income Taxes</w:t>
      </w:r>
      <w:r>
        <w:rPr>
          <w:rFonts w:ascii="Times New Roman" w:hAnsi="Times New Roman"/>
          <w:color w:val="3465B0"/>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provision for income taxes consists of federal and state income taxes in the U.S. and taxes in foreign jurisdictions in which we operate.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Results of Operations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For the three months ended March 31, 2025 and 2024, the Unaudited Condensed Consolidated Income Statements were as follows:</w:t>
      </w:r>
      <w:r>
        <w:rPr>
          <w:rFonts w:ascii="Times New Roman" w:hAnsi="Times New Roman"/>
          <w:color w:val="00002D"/>
          <w:sz w:val="20"/>
        </w:rPr>
        <w:t xml:space="preserve"> </w:t>
      </w:r>
    </w:p>
    <w:p>
      <w:pPr>
        <w:pStyle w:val="TextBody"/>
        <w:bidi w:val="0"/>
        <w:jc w:val="both"/>
        <w:rPr/>
      </w:pPr>
      <w:r>
        <w:rPr/>
        <w:t> </w:t>
      </w:r>
    </w:p>
    <w:tbl>
      <w:tblPr>
        <w:tblW w:w="7409" w:type="dxa"/>
        <w:jc w:val="left"/>
        <w:tblInd w:w="0" w:type="dxa"/>
        <w:tblLayout w:type="fixed"/>
        <w:tblCellMar>
          <w:top w:w="28" w:type="dxa"/>
          <w:left w:w="28" w:type="dxa"/>
          <w:bottom w:w="28" w:type="dxa"/>
          <w:right w:w="28" w:type="dxa"/>
        </w:tblCellMar>
      </w:tblPr>
      <w:tblGrid>
        <w:gridCol w:w="4086"/>
        <w:gridCol w:w="146"/>
        <w:gridCol w:w="226"/>
        <w:gridCol w:w="886"/>
        <w:gridCol w:w="181"/>
        <w:gridCol w:w="146"/>
        <w:gridCol w:w="226"/>
        <w:gridCol w:w="886"/>
        <w:gridCol w:w="626"/>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212,235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187,219</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7,747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16,125</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12,452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6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14,248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14,385</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14,224</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5,033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12,226</w:t>
            </w:r>
          </w:p>
        </w:tc>
        <w:tc>
          <w:tcPr>
            <w:tcW w:w="6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25,451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40,835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199,707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174,961</w:t>
            </w:r>
          </w:p>
        </w:tc>
        <w:tc>
          <w:tcPr>
            <w:tcW w:w="6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86,716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82,274</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35,545</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26,780</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28,066</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153,952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148,677</w:t>
            </w:r>
          </w:p>
        </w:tc>
        <w:tc>
          <w:tcPr>
            <w:tcW w:w="6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45,755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26,284</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(302</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(505</w:t>
            </w:r>
          </w:p>
        </w:tc>
        <w:tc>
          <w:tcPr>
            <w:tcW w:w="6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3,401</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48,551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29,685</w:t>
            </w:r>
          </w:p>
        </w:tc>
        <w:tc>
          <w:tcPr>
            <w:tcW w:w="6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8,384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39,045</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21,301</w:t>
            </w:r>
          </w:p>
        </w:tc>
        <w:tc>
          <w:tcPr>
            <w:tcW w:w="6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March 31, 2025 and 2024, our segment revenue and our segment income (loss) from operations were as follows:</w:t>
      </w:r>
    </w:p>
    <w:tbl>
      <w:tblPr>
        <w:tblW w:w="7769" w:type="dxa"/>
        <w:jc w:val="left"/>
        <w:tblInd w:w="0" w:type="dxa"/>
        <w:tblLayout w:type="fixed"/>
        <w:tblCellMar>
          <w:top w:w="28" w:type="dxa"/>
          <w:left w:w="28" w:type="dxa"/>
          <w:bottom w:w="28" w:type="dxa"/>
          <w:right w:w="28" w:type="dxa"/>
        </w:tblCellMar>
      </w:tblPr>
      <w:tblGrid>
        <w:gridCol w:w="4681"/>
        <w:gridCol w:w="146"/>
        <w:gridCol w:w="226"/>
        <w:gridCol w:w="886"/>
        <w:gridCol w:w="181"/>
        <w:gridCol w:w="146"/>
        <w:gridCol w:w="226"/>
        <w:gridCol w:w="886"/>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195,228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172,988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12,923</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28,577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17,007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49,781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34,217</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1,753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2,407</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45,755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March 31, 2025 and 2024, the Unaudited Condensed Consolidated Income Statements as a percentage of total revenue were as follows (amounts in the table below may not sum due to rounding):</w:t>
      </w:r>
    </w:p>
    <w:p>
      <w:pPr>
        <w:pStyle w:val="TextBody"/>
        <w:bidi w:val="0"/>
        <w:jc w:val="both"/>
        <w:rPr/>
      </w:pPr>
      <w:r>
        <w:rPr/>
        <w:t> </w:t>
      </w:r>
    </w:p>
    <w:tbl>
      <w:tblPr>
        <w:tblW w:w="6957" w:type="dxa"/>
        <w:jc w:val="left"/>
        <w:tblInd w:w="0" w:type="dxa"/>
        <w:tblLayout w:type="fixed"/>
        <w:tblCellMar>
          <w:top w:w="28" w:type="dxa"/>
          <w:left w:w="28" w:type="dxa"/>
          <w:bottom w:w="28" w:type="dxa"/>
          <w:right w:w="28" w:type="dxa"/>
        </w:tblCellMar>
      </w:tblPr>
      <w:tblGrid>
        <w:gridCol w:w="4086"/>
        <w:gridCol w:w="146"/>
        <w:gridCol w:w="185"/>
        <w:gridCol w:w="591"/>
        <w:gridCol w:w="362"/>
        <w:gridCol w:w="185"/>
        <w:gridCol w:w="185"/>
        <w:gridCol w:w="591"/>
        <w:gridCol w:w="626"/>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6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6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6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Outfit;sans-serif" w:hAnsi="Outfit;sans-serif"/>
                <w:color w:val="000000"/>
                <w:sz w:val="20"/>
              </w:rPr>
            </w:pPr>
            <w:r>
              <w:rPr>
                <w:rFonts w:ascii="Outfit;sans-serif" w:hAnsi="Outfit;sans-serif"/>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Gross profit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89</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81</w:t>
            </w:r>
          </w:p>
        </w:tc>
        <w:tc>
          <w:tcPr>
            <w:tcW w:w="6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operating expenses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68</w:t>
            </w:r>
          </w:p>
        </w:tc>
        <w:tc>
          <w:tcPr>
            <w:tcW w:w="36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69</w:t>
            </w:r>
          </w:p>
        </w:tc>
        <w:tc>
          <w:tcPr>
            <w:tcW w:w="6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36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62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Income before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w:t>
            </w:r>
          </w:p>
        </w:tc>
        <w:tc>
          <w:tcPr>
            <w:tcW w:w="6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income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6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6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the three months ended March 31, 2025 and 2024, our segment revenue as a percentage of total revenue and our segment income (loss) from operations as a percentage of segment revenue were as follows (amounts in the table below may not sum due to rounding):</w:t>
      </w:r>
    </w:p>
    <w:p>
      <w:pPr>
        <w:pStyle w:val="TextBody"/>
        <w:bidi w:val="0"/>
        <w:jc w:val="both"/>
        <w:rPr/>
      </w:pPr>
      <w:r>
        <w:rPr/>
        <w:t> </w:t>
      </w:r>
    </w:p>
    <w:tbl>
      <w:tblPr>
        <w:tblW w:w="7317" w:type="dxa"/>
        <w:jc w:val="left"/>
        <w:tblInd w:w="0" w:type="dxa"/>
        <w:tblLayout w:type="fixed"/>
        <w:tblCellMar>
          <w:top w:w="28" w:type="dxa"/>
          <w:left w:w="28" w:type="dxa"/>
          <w:bottom w:w="28" w:type="dxa"/>
          <w:right w:w="28" w:type="dxa"/>
        </w:tblCellMar>
      </w:tblPr>
      <w:tblGrid>
        <w:gridCol w:w="4681"/>
        <w:gridCol w:w="146"/>
        <w:gridCol w:w="185"/>
        <w:gridCol w:w="591"/>
        <w:gridCol w:w="362"/>
        <w:gridCol w:w="185"/>
        <w:gridCol w:w="185"/>
        <w:gridCol w:w="591"/>
        <w:gridCol w:w="3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62"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362"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362"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85"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391"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Times New Roman" w:hAnsi="Times New Roman"/>
          <w:sz w:val="20"/>
        </w:rPr>
      </w:pPr>
      <w:r>
        <w:rPr>
          <w:rFonts w:ascii="Outfit;sans-serif" w:hAnsi="Outfit;sans-serif"/>
          <w:b/>
          <w:i/>
          <w:color w:val="3465B0"/>
          <w:sz w:val="24"/>
        </w:rPr>
        <w:t>For the three months ended March 31, 2025 and 2024</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b/>
          <w:i/>
          <w:color w:val="00002D"/>
          <w:sz w:val="20"/>
        </w:rPr>
        <w:t>Revenue</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3465B0"/>
          <w:sz w:val="20"/>
        </w:rPr>
        <w:t>Revenue by Source</w:t>
      </w:r>
      <w:r>
        <w:rPr>
          <w:rFonts w:ascii="Times New Roman" w:hAnsi="Times New Roman"/>
          <w:color w:val="3465B0"/>
          <w:sz w:val="20"/>
        </w:rPr>
        <w:t xml:space="preserve"> </w:t>
      </w:r>
    </w:p>
    <w:p>
      <w:pPr>
        <w:pStyle w:val="TextBody"/>
        <w:bidi w:val="0"/>
        <w:jc w:val="both"/>
        <w:rPr/>
      </w:pPr>
      <w:r>
        <w:rPr/>
        <w:t> </w:t>
      </w:r>
    </w:p>
    <w:tbl>
      <w:tblPr>
        <w:tblW w:w="8847" w:type="dxa"/>
        <w:jc w:val="left"/>
        <w:tblInd w:w="0" w:type="dxa"/>
        <w:tblLayout w:type="fixed"/>
        <w:tblCellMar>
          <w:top w:w="28" w:type="dxa"/>
          <w:left w:w="28" w:type="dxa"/>
          <w:bottom w:w="28" w:type="dxa"/>
          <w:right w:w="28" w:type="dxa"/>
        </w:tblCellMar>
      </w:tblPr>
      <w:tblGrid>
        <w:gridCol w:w="3301"/>
        <w:gridCol w:w="146"/>
        <w:gridCol w:w="226"/>
        <w:gridCol w:w="886"/>
        <w:gridCol w:w="286"/>
        <w:gridCol w:w="146"/>
        <w:gridCol w:w="226"/>
        <w:gridCol w:w="886"/>
        <w:gridCol w:w="286"/>
        <w:gridCol w:w="146"/>
        <w:gridCol w:w="226"/>
        <w:gridCol w:w="766"/>
        <w:gridCol w:w="181"/>
        <w:gridCol w:w="146"/>
        <w:gridCol w:w="146"/>
        <w:gridCol w:w="421"/>
        <w:gridCol w:w="42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212,235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187,219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25,016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7,747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16,125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(8,378</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(52</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5,176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12,452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(7,276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9,362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Overall revenue increased $9.4 million, or 4%, in the three months ended March 31, 2025, compared to the three months ended March 31, 2024.</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revenue increased $25.0 million, or 13%, in the three months ended March 31, 2025, compared to the three months ended March 31, 2024, and represented 94% of total revenue for the three months ended March 31, 2025, compared to 87% of total revenue for the three months ended March 31, 2024. The increase was due primarily to an increase in Listings revenue, inclusive of certain add-on products, as a result of growth in QARSD, which was driven by signing on new dealers at market rates and revenue expansion through subscription tier upgrades or product adoption. The increase was also due in part to an increase in advertising revenue due primarily to increased spend by advertisers related to new and existing campaigns.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revenue decreased $8.4 million, or 52%, in the three months ended March 31, 2025, compared to the three months ended March 31, 2024, and represented 3% of total revenue for the three months ended March 31, 2025, compared to 7% of total revenue for the three months ended March 31, 2024. The decrease was due primarily to a 49% decrease in Transactions, which includes Dealer-to-Dealer transactions and IMCO transactions, to 5,209 for the three months ended March 31, 2025, compared to 10,302 for the three months ended March 31,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revenue decreased $7.3 million, or 58%, in the three months ended March 31, 2025, compared to the three months ended March 31, 2024, and represented 2% of total revenue for the three months ended March 31, 2025, compared to 6% of total revenue for the three months ended March 31, 2024. The decrease was due primarily to a decrease in proceeds received from the sale of vehicles through IMCO transactions and proceeds received from the sale of vehicles acquired through arbitration, as a result of lower Transaction volume.</w:t>
      </w:r>
    </w:p>
    <w:p>
      <w:pPr>
        <w:pStyle w:val="TextBody"/>
        <w:bidi w:val="0"/>
        <w:spacing w:before="240" w:after="283"/>
        <w:jc w:val="both"/>
        <w:rPr>
          <w:rFonts w:ascii="Outfit;sans-serif" w:hAnsi="Outfit;sans-serif"/>
          <w:color w:val="3465B0"/>
          <w:sz w:val="20"/>
        </w:rPr>
      </w:pPr>
      <w:r>
        <w:rPr>
          <w:rFonts w:ascii="Outfit;sans-serif" w:hAnsi="Outfit;sans-serif"/>
          <w:color w:val="3465B0"/>
          <w:sz w:val="20"/>
        </w:rPr>
        <w:t>Segment Revenue</w:t>
      </w:r>
    </w:p>
    <w:p>
      <w:pPr>
        <w:pStyle w:val="TextBody"/>
        <w:bidi w:val="0"/>
        <w:jc w:val="both"/>
        <w:rPr/>
      </w:pPr>
      <w:r>
        <w:rPr/>
        <w:t> </w:t>
      </w:r>
    </w:p>
    <w:tbl>
      <w:tblPr>
        <w:tblW w:w="8887" w:type="dxa"/>
        <w:jc w:val="left"/>
        <w:tblInd w:w="0" w:type="dxa"/>
        <w:tblLayout w:type="fixed"/>
        <w:tblCellMar>
          <w:top w:w="28" w:type="dxa"/>
          <w:left w:w="28" w:type="dxa"/>
          <w:bottom w:w="28" w:type="dxa"/>
          <w:right w:w="28" w:type="dxa"/>
        </w:tblCellMar>
      </w:tblPr>
      <w:tblGrid>
        <w:gridCol w:w="3301"/>
        <w:gridCol w:w="146"/>
        <w:gridCol w:w="226"/>
        <w:gridCol w:w="886"/>
        <w:gridCol w:w="286"/>
        <w:gridCol w:w="146"/>
        <w:gridCol w:w="226"/>
        <w:gridCol w:w="886"/>
        <w:gridCol w:w="286"/>
        <w:gridCol w:w="146"/>
        <w:gridCol w:w="226"/>
        <w:gridCol w:w="841"/>
        <w:gridCol w:w="181"/>
        <w:gridCol w:w="146"/>
        <w:gridCol w:w="146"/>
        <w:gridCol w:w="421"/>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195,228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172,988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22,240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12,923</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28,577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(15,654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(55</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17,007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225,158</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215,796</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9,362</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39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revenue increased $22.2 million, or 13%, in the three months ended March 31, 2025, compared to the three months ended March 31, 2024, and represented 87% of total revenue for the three months ended March 31, 2025, compared to 80% of total revenue for the three months ended March 31, 2024. The increase was due primarily to a $25.0 million increase in marketplace revenue, as described above.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revenue, which is comprised of wholesale revenue and product revenue, decreased $15.7 million, or 55%, in the three months ended March 31, 2025, compared to the three months ended March 31, 2024, and represented 6% of total revenue for the three months ended March 31, 2025, compared to 13% of total revenue for the three months ended March 31, 2024. The decrease in Digital Wholesale segment revenue was due to a $8.4 million decrease in wholesale revenue and a $7.3 million decrease in product revenue, as described above.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Cost of Revenue</w:t>
      </w:r>
    </w:p>
    <w:p>
      <w:pPr>
        <w:pStyle w:val="TextBody"/>
        <w:bidi w:val="0"/>
        <w:jc w:val="left"/>
        <w:rPr/>
      </w:pPr>
      <w:r>
        <w:rPr/>
        <w:t> </w:t>
      </w:r>
    </w:p>
    <w:tbl>
      <w:tblPr>
        <w:tblW w:w="9082" w:type="dxa"/>
        <w:jc w:val="left"/>
        <w:tblInd w:w="0" w:type="dxa"/>
        <w:tblLayout w:type="fixed"/>
        <w:tblCellMar>
          <w:top w:w="28" w:type="dxa"/>
          <w:left w:w="28" w:type="dxa"/>
          <w:bottom w:w="28" w:type="dxa"/>
          <w:right w:w="28" w:type="dxa"/>
        </w:tblCellMar>
      </w:tblPr>
      <w:tblGrid>
        <w:gridCol w:w="3501"/>
        <w:gridCol w:w="346"/>
        <w:gridCol w:w="226"/>
        <w:gridCol w:w="766"/>
        <w:gridCol w:w="286"/>
        <w:gridCol w:w="146"/>
        <w:gridCol w:w="226"/>
        <w:gridCol w:w="766"/>
        <w:gridCol w:w="286"/>
        <w:gridCol w:w="146"/>
        <w:gridCol w:w="226"/>
        <w:gridCol w:w="841"/>
        <w:gridCol w:w="181"/>
        <w:gridCol w:w="146"/>
        <w:gridCol w:w="146"/>
        <w:gridCol w:w="421"/>
        <w:gridCol w:w="426"/>
      </w:tblGrid>
      <w:tr>
        <w:trPr/>
        <w:tc>
          <w:tcPr>
            <w:tcW w:w="3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Cost of Revenue:</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14,385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6,170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14,224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(8,054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5,033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12,226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25,451</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40,835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(15,384</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b/>
                <w:color w:val="000000"/>
                <w:sz w:val="20"/>
              </w:rPr>
            </w:pPr>
            <w:r>
              <w:rPr>
                <w:rFonts w:ascii="Outfit;sans-serif" w:hAnsi="Outfit;sans-serif"/>
                <w:b/>
                <w:color w:val="000000"/>
                <w:sz w:val="20"/>
              </w:rPr>
              <w:t>Percentage of 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Marketplace</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Wholesale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Product</w:t>
            </w:r>
          </w:p>
        </w:tc>
        <w:tc>
          <w:tcPr>
            <w:tcW w:w="34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Outfit;sans-serif" w:hAnsi="Outfit;sans-serif"/>
          <w:color w:val="00002D"/>
          <w:sz w:val="20"/>
        </w:rPr>
        <w:t>Overall cost of revenue decreased $15.4 million, or 38%, in the three months ended March 31, 2025, compared to the three months ended March 31, 2024.</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Marketplace cost of revenue remained relatively flat in the three months ended March 31, 2025, compared to the three months ended March 31, 2024, and represented 6% of total revenue for the three months ended March 31, 2025, compared to 7% of total revenue for the three months ended March 31,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Wholesale cost of revenue decreased $8.1 million, or 57%, in the three months ended March 31, 2025, compared to the three months ended March 31, 2024, and represented 3% of total revenue for the three months ended March 31, 2025, compared to 7% of total revenue for the three months ended March 31, 2024. The decrease was due primarily to a $4.4 million decrease in transportation expense, inspection expense, and data fees as a result of lower Transaction volume. The decrease was also due in part to a $1.1 million decrease in amortization related to the end of the CG Buy Online pilot during the third quarter of 2024 and a $0.9 million decrease in amortization related to the CarOffer acquired developed technology intangible asset as it became fully amortized during the first quarter of 2024.</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cost of revenue decreased $7.2 million, or 59%, in the three months ended March 31, 2025, compared to the three months ended March 31, 2024, and represented 2% of total revenue for the three months ended March 31, 2025, compared to 6% of total revenue for the three months ended March 31, 2024. The decrease was due primarily to a decrease in expenses related to vehicles sold to dealers through IMCO transactions and related to vehicles sold to dealers acquired through arbitration, as a result of lower Transaction volume.</w:t>
      </w:r>
    </w:p>
    <w:p>
      <w:pPr>
        <w:pStyle w:val="TextBody"/>
        <w:bidi w:val="0"/>
        <w:spacing w:before="240" w:after="283"/>
        <w:jc w:val="left"/>
        <w:rPr>
          <w:rFonts w:ascii="Outfit;sans-serif" w:hAnsi="Outfit;sans-serif"/>
          <w:b/>
          <w:i/>
          <w:color w:val="00002D"/>
          <w:sz w:val="20"/>
        </w:rPr>
      </w:pPr>
      <w:r>
        <w:rPr>
          <w:rFonts w:ascii="Outfit;sans-serif" w:hAnsi="Outfit;sans-serif"/>
          <w:b/>
          <w:i/>
          <w:color w:val="00002D"/>
          <w:sz w:val="20"/>
        </w:rPr>
        <w:t>Operating Expenses</w:t>
      </w:r>
    </w:p>
    <w:p>
      <w:pPr>
        <w:pStyle w:val="TextBody"/>
        <w:bidi w:val="0"/>
        <w:spacing w:before="240" w:after="283"/>
        <w:jc w:val="both"/>
        <w:rPr>
          <w:rFonts w:ascii="Times New Roman" w:hAnsi="Times New Roman"/>
          <w:sz w:val="20"/>
        </w:rPr>
      </w:pPr>
      <w:r>
        <w:rPr>
          <w:rFonts w:ascii="Outfit;sans-serif" w:hAnsi="Outfit;sans-serif"/>
          <w:color w:val="3465B0"/>
          <w:sz w:val="20"/>
        </w:rPr>
        <w:t>Sales and Marketing Expense</w:t>
      </w:r>
      <w:r>
        <w:rPr>
          <w:rFonts w:ascii="Times New Roman" w:hAnsi="Times New Roman"/>
          <w:color w:val="3465B0"/>
          <w:sz w:val="20"/>
        </w:rPr>
        <w:t xml:space="preserve"> </w:t>
      </w:r>
    </w:p>
    <w:p>
      <w:pPr>
        <w:pStyle w:val="TextBody"/>
        <w:bidi w:val="0"/>
        <w:jc w:val="both"/>
        <w:rPr/>
      </w:pPr>
      <w:r>
        <w:rPr/>
        <w:t> </w:t>
      </w:r>
    </w:p>
    <w:tbl>
      <w:tblPr>
        <w:tblW w:w="769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646"/>
        <w:gridCol w:w="146"/>
        <w:gridCol w:w="146"/>
        <w:gridCol w:w="146"/>
        <w:gridCol w:w="22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Sales and marketing</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86,716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82,274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4,442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Sales and marketing expense increased $4.4 million, or 5%, in the three months ended March 31, 2025, compared to the three months ended March 31, 2024. The increase was due primarily to a $3.9 million increase in advertising and marketing expense for our brand awareness campaigns as well as for our performance marketing vendors. The increase in sales and marketing expense was also due in part to a $0.6 million increase in commissions expense due to an increase in marketplace revenue, offset in part by an increase in capitalized commissions.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color w:val="3465B0"/>
          <w:sz w:val="20"/>
        </w:rPr>
        <w:t>Product, Technology, and Development Expense</w:t>
      </w:r>
      <w:r>
        <w:rPr>
          <w:rFonts w:ascii="Times New Roman" w:hAnsi="Times New Roman"/>
          <w:color w:val="3465B0"/>
          <w:sz w:val="20"/>
        </w:rPr>
        <w:t xml:space="preserve"> </w:t>
      </w:r>
    </w:p>
    <w:p>
      <w:pPr>
        <w:pStyle w:val="TextBody"/>
        <w:bidi w:val="0"/>
        <w:jc w:val="both"/>
        <w:rPr/>
      </w:pPr>
      <w:r>
        <w:rPr/>
        <w:t> </w:t>
      </w:r>
    </w:p>
    <w:tbl>
      <w:tblPr>
        <w:tblW w:w="8716" w:type="dxa"/>
        <w:jc w:val="left"/>
        <w:tblInd w:w="0" w:type="dxa"/>
        <w:tblLayout w:type="fixed"/>
        <w:tblCellMar>
          <w:top w:w="28" w:type="dxa"/>
          <w:left w:w="28" w:type="dxa"/>
          <w:bottom w:w="28" w:type="dxa"/>
          <w:right w:w="28" w:type="dxa"/>
        </w:tblCellMar>
      </w:tblPr>
      <w:tblGrid>
        <w:gridCol w:w="3886"/>
        <w:gridCol w:w="146"/>
        <w:gridCol w:w="226"/>
        <w:gridCol w:w="766"/>
        <w:gridCol w:w="286"/>
        <w:gridCol w:w="146"/>
        <w:gridCol w:w="226"/>
        <w:gridCol w:w="766"/>
        <w:gridCol w:w="286"/>
        <w:gridCol w:w="146"/>
        <w:gridCol w:w="274"/>
        <w:gridCol w:w="567"/>
        <w:gridCol w:w="146"/>
        <w:gridCol w:w="146"/>
        <w:gridCol w:w="146"/>
        <w:gridCol w:w="226"/>
        <w:gridCol w:w="33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Product, technology, and development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36,250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35,545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6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705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Product, technology, and development expense increased $0.7 million, or 2%, in the three months ended March 31, 2025, compared to the three months ended March 31, 2024. The increase was due primarily to a $1.1 million increase in salaries and employee-related expense due primarily to higher compensation for newly hired employees, increased respective payroll tax expense, and bonus attainment. The increase was offset in part by a $0.8 million decrease in rent and facilities expense due to the expiration of the leases of office space at 2 Canal Park and at 55 Cambridge Parkway.</w:t>
      </w:r>
    </w:p>
    <w:p>
      <w:pPr>
        <w:pStyle w:val="TextBody"/>
        <w:bidi w:val="0"/>
        <w:spacing w:before="240" w:after="283"/>
        <w:jc w:val="left"/>
        <w:rPr>
          <w:rFonts w:ascii="Times New Roman" w:hAnsi="Times New Roman"/>
          <w:sz w:val="20"/>
        </w:rPr>
      </w:pPr>
      <w:r>
        <w:rPr>
          <w:rFonts w:ascii="Outfit;sans-serif" w:hAnsi="Outfit;sans-serif"/>
          <w:color w:val="3465B0"/>
          <w:sz w:val="20"/>
        </w:rPr>
        <w:t>General and Administrative Expense</w:t>
      </w:r>
      <w:r>
        <w:rPr>
          <w:rFonts w:ascii="Times New Roman" w:hAnsi="Times New Roman"/>
          <w:color w:val="3465B0"/>
          <w:sz w:val="20"/>
        </w:rPr>
        <w:t xml:space="preserve"> </w:t>
      </w:r>
    </w:p>
    <w:p>
      <w:pPr>
        <w:pStyle w:val="TextBody"/>
        <w:bidi w:val="0"/>
        <w:jc w:val="both"/>
        <w:rPr/>
      </w:pPr>
      <w:r>
        <w:rPr/>
        <w:t> </w:t>
      </w:r>
    </w:p>
    <w:tbl>
      <w:tblPr>
        <w:tblW w:w="7957" w:type="dxa"/>
        <w:jc w:val="left"/>
        <w:tblInd w:w="0" w:type="dxa"/>
        <w:tblLayout w:type="fixed"/>
        <w:tblCellMar>
          <w:top w:w="28" w:type="dxa"/>
          <w:left w:w="28" w:type="dxa"/>
          <w:bottom w:w="28" w:type="dxa"/>
          <w:right w:w="28" w:type="dxa"/>
        </w:tblCellMar>
      </w:tblPr>
      <w:tblGrid>
        <w:gridCol w:w="2836"/>
        <w:gridCol w:w="146"/>
        <w:gridCol w:w="226"/>
        <w:gridCol w:w="766"/>
        <w:gridCol w:w="286"/>
        <w:gridCol w:w="146"/>
        <w:gridCol w:w="226"/>
        <w:gridCol w:w="766"/>
        <w:gridCol w:w="286"/>
        <w:gridCol w:w="146"/>
        <w:gridCol w:w="226"/>
        <w:gridCol w:w="721"/>
        <w:gridCol w:w="181"/>
        <w:gridCol w:w="146"/>
        <w:gridCol w:w="146"/>
        <w:gridCol w:w="301"/>
        <w:gridCol w:w="40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and administrative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26,780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28,066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(1,286</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General and administrative expense decreased $1.3 million, or 5%, in the three months ended March 31, 2025, compared to the three months ended March 31, 2024. The decrease was due primarily to a $2.3 million decrease in stock-based compensation, due primarily to completed vesting of existing awards and forfeitures from employee departures, partially offset by new grants. The decrease was offset in part by a $1.0 million increase in indirect tax expense.</w:t>
      </w:r>
    </w:p>
    <w:p>
      <w:pPr>
        <w:pStyle w:val="TextBody"/>
        <w:bidi w:val="0"/>
        <w:jc w:val="both"/>
        <w:rPr/>
      </w:pPr>
      <w:r>
        <w:rPr/>
        <w:t> </w:t>
      </w:r>
    </w:p>
    <w:p>
      <w:pPr>
        <w:pStyle w:val="TextBody"/>
        <w:bidi w:val="0"/>
        <w:jc w:val="both"/>
        <w:rPr>
          <w:rFonts w:ascii="Times New Roman" w:hAnsi="Times New Roman"/>
          <w:sz w:val="20"/>
        </w:rPr>
      </w:pPr>
      <w:r>
        <w:rPr>
          <w:rFonts w:ascii="Outfit;sans-serif" w:hAnsi="Outfit;sans-serif"/>
          <w:color w:val="3465B0"/>
          <w:sz w:val="20"/>
        </w:rPr>
        <w:t>Depreciation and Amortization Expense</w:t>
      </w:r>
      <w:r>
        <w:rPr>
          <w:rFonts w:ascii="Times New Roman" w:hAnsi="Times New Roman"/>
          <w:color w:val="3465B0"/>
          <w:sz w:val="20"/>
        </w:rPr>
        <w:t xml:space="preserve"> </w:t>
      </w:r>
    </w:p>
    <w:p>
      <w:pPr>
        <w:pStyle w:val="TextBody"/>
        <w:bidi w:val="0"/>
        <w:jc w:val="both"/>
        <w:rPr/>
      </w:pPr>
      <w:r>
        <w:rPr/>
        <w:t> </w:t>
      </w:r>
    </w:p>
    <w:tbl>
      <w:tblPr>
        <w:tblW w:w="7832" w:type="dxa"/>
        <w:jc w:val="left"/>
        <w:tblInd w:w="0" w:type="dxa"/>
        <w:tblLayout w:type="fixed"/>
        <w:tblCellMar>
          <w:top w:w="28" w:type="dxa"/>
          <w:left w:w="28" w:type="dxa"/>
          <w:bottom w:w="28" w:type="dxa"/>
          <w:right w:w="28" w:type="dxa"/>
        </w:tblCellMar>
      </w:tblPr>
      <w:tblGrid>
        <w:gridCol w:w="3091"/>
        <w:gridCol w:w="146"/>
        <w:gridCol w:w="226"/>
        <w:gridCol w:w="646"/>
        <w:gridCol w:w="286"/>
        <w:gridCol w:w="146"/>
        <w:gridCol w:w="226"/>
        <w:gridCol w:w="646"/>
        <w:gridCol w:w="286"/>
        <w:gridCol w:w="146"/>
        <w:gridCol w:w="226"/>
        <w:gridCol w:w="646"/>
        <w:gridCol w:w="146"/>
        <w:gridCol w:w="146"/>
        <w:gridCol w:w="146"/>
        <w:gridCol w:w="346"/>
        <w:gridCol w:w="33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Depreciation and amortization</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4,206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2,792</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1,414</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Depreciation and amortization expense increased $1.4 million, or 51%, in the three months ended March 31, 2025, compared to the three months ended March 31, 2024. The increase was due primarily to a $1.9 million increase in depreciation due primarily to assets placed in service related to the 1001 Boylston Street lease, offset in part by assets related to the expiration of the lease of office space at 55 Cambridge Parkway becoming fully depreciated during the three months ended March 31, 2025, as well as the CarOffer customer relationships intangible asset in the Digital Wholesale segment becoming fully amortized during the three months ended March 31, 2024.</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Other Income, net</w:t>
      </w:r>
    </w:p>
    <w:p>
      <w:pPr>
        <w:pStyle w:val="TextBody"/>
        <w:bidi w:val="0"/>
        <w:jc w:val="both"/>
        <w:rPr/>
      </w:pPr>
      <w:r>
        <w:rPr/>
        <w:t> </w:t>
      </w:r>
    </w:p>
    <w:tbl>
      <w:tblPr>
        <w:tblW w:w="7314" w:type="dxa"/>
        <w:jc w:val="left"/>
        <w:tblInd w:w="0" w:type="dxa"/>
        <w:tblLayout w:type="fixed"/>
        <w:tblCellMar>
          <w:top w:w="28" w:type="dxa"/>
          <w:left w:w="28" w:type="dxa"/>
          <w:bottom w:w="28" w:type="dxa"/>
          <w:right w:w="28" w:type="dxa"/>
        </w:tblCellMar>
      </w:tblPr>
      <w:tblGrid>
        <w:gridCol w:w="2601"/>
        <w:gridCol w:w="146"/>
        <w:gridCol w:w="229"/>
        <w:gridCol w:w="655"/>
        <w:gridCol w:w="183"/>
        <w:gridCol w:w="148"/>
        <w:gridCol w:w="229"/>
        <w:gridCol w:w="655"/>
        <w:gridCol w:w="181"/>
        <w:gridCol w:w="146"/>
        <w:gridCol w:w="247"/>
        <w:gridCol w:w="594"/>
        <w:gridCol w:w="181"/>
        <w:gridCol w:w="146"/>
        <w:gridCol w:w="146"/>
        <w:gridCol w:w="421"/>
        <w:gridCol w:w="406"/>
      </w:tblGrid>
      <w:tr>
        <w:trPr/>
        <w:tc>
          <w:tcPr>
            <w:tcW w:w="2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Other income,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84"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3,906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6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(302</w:t>
            </w:r>
          </w:p>
        </w:tc>
        <w:tc>
          <w:tcPr>
            <w:tcW w:w="18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8"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(505</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203</w:t>
            </w:r>
          </w:p>
        </w:tc>
        <w:tc>
          <w:tcPr>
            <w:tcW w:w="18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40</w:t>
            </w:r>
          </w:p>
        </w:tc>
        <w:tc>
          <w:tcPr>
            <w:tcW w:w="406" w:type="dxa"/>
            <w:tcBorders>
              <w:bottom w:val="single" w:sz="4" w:space="0" w:color="000000"/>
            </w:tcBorders>
            <w:shd w:fill="EEF2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2,796</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(18</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180" w:type="dxa"/>
        <w:jc w:val="left"/>
        <w:tblInd w:w="0" w:type="dxa"/>
        <w:tblLayout w:type="fixed"/>
        <w:tblCellMar>
          <w:top w:w="28" w:type="dxa"/>
          <w:left w:w="28" w:type="dxa"/>
          <w:bottom w:w="28" w:type="dxa"/>
          <w:right w:w="28" w:type="dxa"/>
        </w:tblCellMar>
      </w:tblPr>
      <w:tblGrid>
        <w:gridCol w:w="3301"/>
        <w:gridCol w:w="146"/>
        <w:gridCol w:w="146"/>
        <w:gridCol w:w="301"/>
        <w:gridCol w:w="286"/>
        <w:gridCol w:w="146"/>
        <w:gridCol w:w="146"/>
        <w:gridCol w:w="301"/>
        <w:gridCol w:w="286"/>
        <w:gridCol w:w="146"/>
        <w:gridCol w:w="146"/>
        <w:gridCol w:w="146"/>
        <w:gridCol w:w="146"/>
        <w:gridCol w:w="146"/>
        <w:gridCol w:w="3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total revenue: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gridSpan w:val="2"/>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c>
          <w:tcPr>
            <w:tcW w:w="286" w:type="dxa"/>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c>
          <w:tcPr>
            <w:tcW w:w="286" w:type="dxa"/>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c>
          <w:tcPr>
            <w:tcW w:w="391" w:type="dxa"/>
            <w:tcBorders>
              <w:top w:val="double" w:sz="6" w:space="0" w:color="000000"/>
            </w:tcBorders>
            <w:shd w:fill="EEF2F7" w:val="clear"/>
            <w:tcMar>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 expense, net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Total other income, net decreased $0.6 million, or 18%, in the three months ended March 31, 2025, compared to the three months ended March 31, 2024. The $0.8 million decrease in interest income was due primarily to the sale of interest-bearing short-term investments during the three months ended March 31, 2024.</w:t>
      </w:r>
    </w:p>
    <w:p>
      <w:pPr>
        <w:pStyle w:val="TextBody"/>
        <w:bidi w:val="0"/>
        <w:spacing w:before="240" w:after="283"/>
        <w:jc w:val="both"/>
        <w:rPr>
          <w:rFonts w:ascii="Times New Roman" w:hAnsi="Times New Roman"/>
          <w:sz w:val="20"/>
        </w:rPr>
      </w:pPr>
      <w:r>
        <w:rPr>
          <w:rFonts w:ascii="Outfit;sans-serif" w:hAnsi="Outfit;sans-serif"/>
          <w:b/>
          <w:i/>
          <w:color w:val="00002D"/>
          <w:sz w:val="20"/>
        </w:rPr>
        <w:t>Provision for Income Taxes</w:t>
      </w:r>
      <w:r>
        <w:rPr>
          <w:rFonts w:ascii="Times New Roman" w:hAnsi="Times New Roman"/>
          <w:color w:val="00002D"/>
          <w:sz w:val="20"/>
        </w:rPr>
        <w:t xml:space="preserve"> </w:t>
      </w:r>
    </w:p>
    <w:p>
      <w:pPr>
        <w:pStyle w:val="TextBody"/>
        <w:bidi w:val="0"/>
        <w:jc w:val="both"/>
        <w:rPr/>
      </w:pPr>
      <w:r>
        <w:rPr/>
        <w:t> </w:t>
      </w:r>
    </w:p>
    <w:tbl>
      <w:tblPr>
        <w:tblW w:w="7577" w:type="dxa"/>
        <w:jc w:val="left"/>
        <w:tblInd w:w="0" w:type="dxa"/>
        <w:tblLayout w:type="fixed"/>
        <w:tblCellMar>
          <w:top w:w="28" w:type="dxa"/>
          <w:left w:w="28" w:type="dxa"/>
          <w:bottom w:w="28" w:type="dxa"/>
          <w:right w:w="28" w:type="dxa"/>
        </w:tblCellMar>
      </w:tblPr>
      <w:tblGrid>
        <w:gridCol w:w="2836"/>
        <w:gridCol w:w="146"/>
        <w:gridCol w:w="226"/>
        <w:gridCol w:w="646"/>
        <w:gridCol w:w="286"/>
        <w:gridCol w:w="146"/>
        <w:gridCol w:w="226"/>
        <w:gridCol w:w="646"/>
        <w:gridCol w:w="286"/>
        <w:gridCol w:w="146"/>
        <w:gridCol w:w="226"/>
        <w:gridCol w:w="646"/>
        <w:gridCol w:w="146"/>
        <w:gridCol w:w="146"/>
        <w:gridCol w:w="146"/>
        <w:gridCol w:w="346"/>
        <w:gridCol w:w="33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Provision for income taxes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9,506</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8,384</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6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1,122</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w:t>
            </w:r>
          </w:p>
        </w:tc>
        <w:tc>
          <w:tcPr>
            <w:tcW w:w="33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Provision for income taxes increased $1.1 million, or 13%, in the three months ended March 31, 2025, compared to the three months ended March 31, 2024. The increase was due primarily to increased profitability. The increase in the provision for income taxes was offset in part by an aggregated $1.0 million tax benefit related to windfalls on the taxable compensation of stock-based awards, net of the Section 162(m) excess officer compensation limitation recorded during the three months ended March 31, 2025, compared to a $0.4 million tax expense related to shortfalls on the taxable compensation of stock-based awards and the Section 162(m) excess officer compensation limitation recorded during the three months ended March 31, 2024.</w:t>
      </w:r>
    </w:p>
    <w:p>
      <w:pPr>
        <w:pStyle w:val="TextBody"/>
        <w:bidi w:val="0"/>
        <w:spacing w:before="240" w:after="283"/>
        <w:jc w:val="both"/>
        <w:rPr>
          <w:rFonts w:ascii="Outfit;sans-serif" w:hAnsi="Outfit;sans-serif"/>
          <w:b/>
          <w:i/>
          <w:color w:val="00002D"/>
          <w:sz w:val="20"/>
        </w:rPr>
      </w:pPr>
      <w:r>
        <w:rPr>
          <w:rFonts w:ascii="Outfit;sans-serif" w:hAnsi="Outfit;sans-serif"/>
          <w:b/>
          <w:i/>
          <w:color w:val="00002D"/>
          <w:sz w:val="20"/>
        </w:rPr>
        <w:t>Segment Income (Loss) from Operations</w:t>
      </w:r>
    </w:p>
    <w:p>
      <w:pPr>
        <w:pStyle w:val="TextBody"/>
        <w:bidi w:val="0"/>
        <w:jc w:val="both"/>
        <w:rPr/>
      </w:pPr>
      <w:r>
        <w:rPr/>
        <w:t> </w:t>
      </w:r>
    </w:p>
    <w:tbl>
      <w:tblPr>
        <w:tblW w:w="10062" w:type="dxa"/>
        <w:jc w:val="left"/>
        <w:tblInd w:w="0" w:type="dxa"/>
        <w:tblLayout w:type="fixed"/>
        <w:tblCellMar>
          <w:top w:w="28" w:type="dxa"/>
          <w:left w:w="28" w:type="dxa"/>
          <w:bottom w:w="28" w:type="dxa"/>
          <w:right w:w="28" w:type="dxa"/>
        </w:tblCellMar>
      </w:tblPr>
      <w:tblGrid>
        <w:gridCol w:w="4681"/>
        <w:gridCol w:w="146"/>
        <w:gridCol w:w="226"/>
        <w:gridCol w:w="766"/>
        <w:gridCol w:w="286"/>
        <w:gridCol w:w="146"/>
        <w:gridCol w:w="226"/>
        <w:gridCol w:w="841"/>
        <w:gridCol w:w="286"/>
        <w:gridCol w:w="146"/>
        <w:gridCol w:w="226"/>
        <w:gridCol w:w="766"/>
        <w:gridCol w:w="181"/>
        <w:gridCol w:w="146"/>
        <w:gridCol w:w="146"/>
        <w:gridCol w:w="421"/>
        <w:gridCol w:w="426"/>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Change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Amount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(dollars in thousands)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Segment Income (Loss) from Operations: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49,781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34,217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15,564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(5,779</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(10,340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4,561</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1,753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2,407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45,755</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26,284</w:t>
            </w:r>
          </w:p>
        </w:tc>
        <w:tc>
          <w:tcPr>
            <w:tcW w:w="28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76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19,471</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74</w:t>
            </w:r>
          </w:p>
        </w:tc>
        <w:tc>
          <w:tcPr>
            <w:tcW w:w="4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Percentage of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U.S. Marketplace</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25</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28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Digital 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Other</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17</w:t>
            </w:r>
          </w:p>
        </w:tc>
        <w:tc>
          <w:tcPr>
            <w:tcW w:w="28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Outfit;sans-serif" w:hAnsi="Outfit;sans-serif"/>
                <w:color w:val="000000"/>
                <w:sz w:val="20"/>
              </w:rPr>
            </w:pP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20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U.S. Marketplace segment income from operations increased $15.6 million, or 45%, in the three months ended March 31, 2025, compared to the three months ended March 31, 2024, and represented 25% of U.S. Marketplace segment revenue for the three months ended March 31, 2025, compared to 20% of U.S. Marketplace segment revenue for the three months ended March 31, 2024. The increase was due to an increase in revenue of $22.2 million, a decrease in cost of revenue of $0.6 million, and an increase in operating expenses of $7.2 million.</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Digital Wholesale segment loss from operations decreased $4.6 million, or 44%, in the three months ended March 31, 2025, compared to the three months ended March 31, 2024, and represented (45)% of Digital Wholesale segment revenue for the three months ended March 31, 2025, compared to (36)% of Digital Wholesale segment revenue for the three months ended March 31, 2024. The decrease was due primarily to a decrease in revenue of $15.7 million, a decrease in cost of revenue of $15.3 million, and a decrease in operating expenses of $5.0 million.</w:t>
      </w:r>
    </w:p>
    <w:p>
      <w:pPr>
        <w:pStyle w:val="TextBody"/>
        <w:bidi w:val="0"/>
        <w:spacing w:before="240" w:after="283"/>
        <w:jc w:val="both"/>
        <w:rPr>
          <w:rFonts w:ascii="Times New Roman" w:hAnsi="Times New Roman"/>
          <w:sz w:val="20"/>
        </w:rPr>
      </w:pPr>
      <w:r>
        <w:rPr>
          <w:rFonts w:ascii="Outfit;sans-serif" w:hAnsi="Outfit;sans-serif"/>
          <w:b/>
          <w:color w:val="00002D"/>
          <w:sz w:val="32"/>
        </w:rPr>
        <w:t>Liquidity and Capital Resources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3465B0"/>
          <w:sz w:val="24"/>
        </w:rPr>
      </w:pPr>
      <w:r>
        <w:rPr>
          <w:rFonts w:ascii="Outfit;sans-serif" w:hAnsi="Outfit;sans-serif"/>
          <w:b/>
          <w:color w:val="3465B0"/>
          <w:sz w:val="24"/>
        </w:rPr>
        <w:t>Cash, Cash Equivalents, and Borrowing Capacity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and December 31, 2024, our principal sources of liquidity were cash and cash equivalents of $172.9 and $304.2 million, respectively. As of March 31, 2025, our borrowing capacity under the 2022 Revolver (as defined below) was $390.1 million.</w:t>
      </w:r>
    </w:p>
    <w:p>
      <w:pPr>
        <w:pStyle w:val="TextBody"/>
        <w:bidi w:val="0"/>
        <w:spacing w:before="240" w:after="283"/>
        <w:jc w:val="both"/>
        <w:rPr>
          <w:rFonts w:ascii="Times New Roman" w:hAnsi="Times New Roman"/>
          <w:sz w:val="20"/>
        </w:rPr>
      </w:pPr>
      <w:r>
        <w:rPr>
          <w:rFonts w:ascii="Outfit;sans-serif" w:hAnsi="Outfit;sans-serif"/>
          <w:b/>
          <w:color w:val="3465B0"/>
          <w:sz w:val="24"/>
        </w:rPr>
        <w:t>Sources and Uses of Cash</w:t>
      </w:r>
      <w:r>
        <w:rPr>
          <w:rFonts w:ascii="Times New Roman" w:hAnsi="Times New Roman"/>
          <w:color w:val="3465B0"/>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March 31, 2025 and 2024, our cash flows from operating, investing, and financing activities, as reflected in the Unaudited Condensed Consolidated Statements of Cash Flows, were as follows:</w:t>
      </w:r>
      <w:r>
        <w:rPr>
          <w:rFonts w:ascii="Times New Roman" w:hAnsi="Times New Roman"/>
          <w:color w:val="00002D"/>
          <w:sz w:val="20"/>
        </w:rPr>
        <w:t xml:space="preserve"> </w:t>
      </w:r>
    </w:p>
    <w:p>
      <w:pPr>
        <w:pStyle w:val="TextBody"/>
        <w:bidi w:val="0"/>
        <w:jc w:val="both"/>
        <w:rPr/>
      </w:pPr>
      <w:r>
        <w:rPr/>
        <w:t> </w:t>
      </w:r>
    </w:p>
    <w:tbl>
      <w:tblPr>
        <w:tblW w:w="8864" w:type="dxa"/>
        <w:jc w:val="left"/>
        <w:tblInd w:w="0" w:type="dxa"/>
        <w:tblLayout w:type="fixed"/>
        <w:tblCellMar>
          <w:top w:w="28" w:type="dxa"/>
          <w:left w:w="28" w:type="dxa"/>
          <w:bottom w:w="28" w:type="dxa"/>
          <w:right w:w="28" w:type="dxa"/>
        </w:tblCellMar>
      </w:tblPr>
      <w:tblGrid>
        <w:gridCol w:w="5911"/>
        <w:gridCol w:w="146"/>
        <w:gridCol w:w="226"/>
        <w:gridCol w:w="961"/>
        <w:gridCol w:w="181"/>
        <w:gridCol w:w="146"/>
        <w:gridCol w:w="226"/>
        <w:gridCol w:w="841"/>
        <w:gridCol w:w="226"/>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 xml:space="preserve">Three Months Ended </w:t>
              <w:br/>
              <w:t>March 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 thousands)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provided by operating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67,879</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51,964</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(7,631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(13,147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cash used in financing activities</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(191,477</w:t>
            </w:r>
          </w:p>
        </w:tc>
        <w:tc>
          <w:tcPr>
            <w:tcW w:w="18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(83,038</w:t>
            </w:r>
          </w:p>
        </w:tc>
        <w:tc>
          <w:tcPr>
            <w:tcW w:w="22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Impact of foreign currency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710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(577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r>
        <w:trPr/>
        <w:tc>
          <w:tcPr>
            <w:tcW w:w="5911"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Net decrease in cash, cash equivalents, and restricted cash</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96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(130,519</w:t>
            </w:r>
          </w:p>
        </w:tc>
        <w:tc>
          <w:tcPr>
            <w:tcW w:w="18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841"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(44,798</w:t>
            </w:r>
          </w:p>
        </w:tc>
        <w:tc>
          <w:tcPr>
            <w:tcW w:w="226" w:type="dxa"/>
            <w:tcBorders>
              <w:bottom w:val="double" w:sz="6" w:space="0" w:color="000000"/>
            </w:tcBorders>
            <w:shd w:fill="EEF2F7"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r>
    </w:tbl>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operations have been financed primarily from operating activities. During the three months ended March 31, 2025 and 2024, we generated cash from operating activities of $67.9 million and $52.0 million, respectively.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September 26, 2022, we entered into a Credit Agreement with PNC Bank, National Association, as administrative agent and collateral agent and an L/C Issuer (as defined in the Credit Agreement), and the other lenders, L/C Issuers, and parties thereto from time to time, or the Credit Agreement. The Credit Agreement consists of a revolving credit facility, or the 2022 Revolver, which allows us to borrow up to $400.0 million, $50.0 million of which may be comprised of a letter of credit sub-facility, or 2022 Revolver Sub-facility. The borrowing capacity under the Credit Agreement may be increased in accordance with the terms and subject to the adjustments as set forth in the Credit Agreement. Specifically, the borrowing capacity may be increased by an amount up to the greater of $250.0 million or 100% of Four Quarter Consolidated EBITDA (as defined in the Credit Agreement) if certain criteria are met and subject to certain restrictions. Any such increase requires lender approval. Proceeds of any borrowings may be used for general corporate purposes. The 2022 Revolver is scheduled to mature on September 26, 2027. As of March 31, 2025 and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Times New Roman" w:hAnsi="Times New Roman"/>
          <w:sz w:val="20"/>
        </w:rPr>
      </w:pPr>
      <w:r>
        <w:rPr>
          <w:rFonts w:ascii="Outfit;sans-serif" w:hAnsi="Outfit;sans-serif"/>
          <w:color w:val="00002D"/>
          <w:sz w:val="20"/>
        </w:rPr>
        <w:t>We believe that our existing sources of liquidity, including access to the 2022 Revolver, will be sufficient to fund our operations for at least the next 12 months from the date of the filing of this Quarterly Report. Our future capital requirements will depend on many factors, including our revenue; expenses associated with our sales and marketing activities and the support of our product, technology, and development efforts; payments received in advance from a third-party transaction processor; activity under the 2025 Share Repurchase Program (as defined below); and our investments in international markets. Cash from operations could also be affected by various risks and uncertainties, including but not limited to macroeconomic effects and other risks detailed more specifically in the “Risk Factors” section in Part I, Item 1A in our Annual Report and in the “Risk Factors” section in Part II, Item 1A in this Quarterly Report.</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On November 7, 2024, we announced that our Board of Directors authorized a share repurchase program, or the 2025 Share Repurchase Program, pursuant to which we may, from time to time, purchase shares of our Class A common stock for an aggregate purchase price not to exceed $200.0 million.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Securities Exchange Act of 1934, as amended, or the Exchange Act. The 2025 Share Repurchase Program does not obligate us to repurchase any minimum dollar amount or number of shares. The 2025 Share Repurchase Program has an effective date of January 1, 2025, and an expiration date of December 31, 2025, and prior to its expiration may be modified, suspended, or discontinued by our Board of Directors at any time without prior notice. All repurchased shares under the 2025 Share Repurchase Program will be retired. We have funded share repurchases and expect to continue to fund share repurchases under the 2025 Share Repurchase Program through cash on hand and cash generated from operations. During the three months ended March 31, 2025, we repurchased and retired 5,919,435 shares of our Class A common stock for $184.2 million, exclusive of commissions and excise tax, at an average cost of $31.12 per share under the 2025 Share Repurchase Program. As of March 31, 2025, we had remaining authorization to purchase up to $15.8 million of our Class A common stock under the 2025 Share Repurchase Program.</w:t>
      </w:r>
    </w:p>
    <w:p>
      <w:pPr>
        <w:pStyle w:val="TextBody"/>
        <w:bidi w:val="0"/>
        <w:spacing w:before="240" w:after="283"/>
        <w:jc w:val="both"/>
        <w:rPr>
          <w:rFonts w:ascii="Times New Roman" w:hAnsi="Times New Roman"/>
          <w:sz w:val="20"/>
        </w:rPr>
      </w:pPr>
      <w:r>
        <w:rPr>
          <w:rFonts w:ascii="Outfit;sans-serif" w:hAnsi="Outfit;sans-serif"/>
          <w:color w:val="00002D"/>
          <w:sz w:val="20"/>
        </w:rPr>
        <w:t>On November 7, 2023, we announced that our Board of Directors authorized a share repurchase program, or the 2024 Share Repurchase Program, pursuant to which we could, from time to time, purchase shares of our Class A common stock for an aggregate purchase price not to exceed $250.0 million. The 2024 Share Repurchase Program expired on December 31, 2024. All repurchased shares of our Class A common stock under the 2024 Share Repurchase Program were retired. We funded share repurchases under the 2024 Share Repurchase Program through cash on hand and cash generated from operations. During the three months ended March 31, 2024, we repurchased and retired 3,538,194 shares of our Class A common stock for $81.1 million, exclusive of commissions and excise tax, at an average cost of $22.91 per share under the 2024 Share Repurchase Program.</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To the extent that our operating income, existing cash, cash equivalents, and our borrowing capacity under the 2022 Revolver are insufficient to fund our future activities, we may need to raise additional funds through a public or private equity or debt financing. Additional funds may not be available on terms favorable to us, or at all. See “</w:t>
      </w:r>
      <w:r>
        <w:rPr>
          <w:rFonts w:ascii="Outfit;sans-serif" w:hAnsi="Outfit;sans-serif"/>
          <w:i/>
          <w:color w:val="00002D"/>
          <w:sz w:val="20"/>
        </w:rPr>
        <w:t xml:space="preserve">Risk Factors—Risks Related to Our Business and Industry—We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 </w:t>
      </w:r>
      <w:r>
        <w:rPr>
          <w:rFonts w:ascii="Outfit;sans-serif" w:hAnsi="Outfit;sans-serif"/>
          <w:color w:val="00002D"/>
          <w:sz w:val="20"/>
        </w:rPr>
        <w:t>in Part I, Item 1A in our Annual Report.</w:t>
      </w:r>
    </w:p>
    <w:p>
      <w:pPr>
        <w:pStyle w:val="TextBody"/>
        <w:bidi w:val="0"/>
        <w:spacing w:before="240" w:after="283"/>
        <w:jc w:val="both"/>
        <w:rPr>
          <w:rFonts w:ascii="Times New Roman" w:hAnsi="Times New Roman"/>
          <w:sz w:val="20"/>
        </w:rPr>
      </w:pPr>
      <w:r>
        <w:rPr>
          <w:rFonts w:ascii="Outfit;sans-serif" w:hAnsi="Outfit;sans-serif"/>
          <w:b/>
          <w:i/>
          <w:color w:val="00002D"/>
          <w:sz w:val="20"/>
        </w:rPr>
        <w:t>Operating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$67.9 million during the three months ended March 31, 2025, was due primarily to net income of $39.0 million, adjusted for $12.9 million of stock-based compensation expense for equity classified awards to employees, $6.6 million of depreciation and amortization expense, and $3.8 million of amortization of deferred contract costs. Net cash provided by operating activities was also attributable to a $4.6 million increase in lease obligations, primarily due to interest accretion, right-of-use asset amortization, and tenant improvement allowance reimbursement, offset in part by rent payments. Net cash provided by operating activities was also due in part to a $4.1 million increase in accounts payable due to increased marketing spend as a result of seasonality, as well as the timing of payments. Net cash provided by operating activities was offset in part by a $5.6 million decrease in accrued expenses, accrued income taxes, and other current liabilities due primarily to a decrease in accrued bonuses, following the payout of the fiscal year 2024 bonuses during the quarter, and a $4.7 million increase in deferred contract costs, primarily due to commission capitalization.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provided by operating activities of $52.0 million during the three months ended March 31, 2024, was due primarily to net income of $21.3 million, adjusted for $15.8 million of stock-based compensation expense, $7.5 million of depreciation and amortization, and $3.3 million of amortization of deferred contract costs, partially offset by $9.1 million of deferred taxes. Net cash provided by operating activities was also attributable to a $12.7 million increase due to changes in our lease obligations, a $6.0 million decrease in prepaid expenses, prepaid income taxes, and other assets, a $0.7 million increase in accounts payable, and a $0.7 million increase in accrued expenses, accrued income taxes, and other liabilities. The increases in cash flow from operations were partially offset by a $4.2 million increase in accounts receivable and a $3.3 million increase in deferred contract costs.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i/>
          <w:color w:val="00002D"/>
          <w:sz w:val="20"/>
        </w:rPr>
        <w:t>Investing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$7.6 million during the three months ended March 31, 2025, was due to $5.4 million in capitalization of website development costs related to continued investments on our product offerings and $2.2 million in purchases of property and equipment related to internal-use software, as well as our headquarters at 1001 Boylston Street.</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investing activities of $13.1 million during the three months ended March 31, 2024, was due primarily to $28.7 million of purchases of property and equipment and $5.5 million of capitalization of website development costs, offset in part by $20.7 million of sales of short-term investments, net of purchases.</w:t>
      </w:r>
    </w:p>
    <w:p>
      <w:pPr>
        <w:pStyle w:val="TextBody"/>
        <w:bidi w:val="0"/>
        <w:spacing w:before="240" w:after="283"/>
        <w:jc w:val="both"/>
        <w:rPr>
          <w:rFonts w:ascii="Times New Roman" w:hAnsi="Times New Roman"/>
          <w:sz w:val="20"/>
        </w:rPr>
      </w:pPr>
      <w:r>
        <w:rPr>
          <w:rFonts w:ascii="Outfit;sans-serif" w:hAnsi="Outfit;sans-serif"/>
          <w:b/>
          <w:i/>
          <w:color w:val="00002D"/>
          <w:sz w:val="20"/>
        </w:rPr>
        <w:t>Financing Activities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$191.5 million during the three months ended March 31, 2025, was due primarily to $182.8 million in repurchases of our Class A common stock under the 2025 Share Repurchase Program and $9.0 million in payment of withholding taxes on net share settlements of restricted stock units.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Net cash used in financing activities of $83.0 million during the three months ended March 31, 2024, was due primarily to $77.4 million in repurchases of our Class A common stock under the 2024 Share Repurchase Program, $5.1 million of payment of withholding taxes on net share settlements of restricted stock units, and $0.5 million of changes in gross advance payments received from third-party transaction processor.</w:t>
      </w:r>
    </w:p>
    <w:p>
      <w:pPr>
        <w:pStyle w:val="TextBody"/>
        <w:bidi w:val="0"/>
        <w:spacing w:before="240" w:after="283"/>
        <w:jc w:val="both"/>
        <w:rPr>
          <w:rFonts w:ascii="Times New Roman" w:hAnsi="Times New Roman"/>
          <w:sz w:val="20"/>
        </w:rPr>
      </w:pPr>
      <w:r>
        <w:rPr>
          <w:rFonts w:ascii="Outfit;sans-serif" w:hAnsi="Outfit;sans-serif"/>
          <w:b/>
          <w:color w:val="00002D"/>
          <w:sz w:val="32"/>
        </w:rPr>
        <w:t>Contractual Obligations and Known Future Cash Requirements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there were no material changes in our contractual obligations and commitments from those disclosed in our Annual Report, other than those appearing in the notes to the Unaudited Condensed Consolidated Financial Statements included elsewhere in this Quarterly Report, which are hereby incorporated by reference.</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Seasonality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Across the retail automotive industry, consumer purchasing activity is typically greatest in the first three quarters of each year, due in part to the introduction of new vehicle models from manufacturers and the seasonal nature of consumer spending. Additionally, the volume of wholesale vehicle sales can fluctuate from quarter to quarter driven by several factors, including the timing of used vehicles available for sale from selling customers, the seasonality of the retail market for used vehicles, and/or inventory challenges in the automotive industry, which affect the demand side of the wholesale industry.</w:t>
      </w:r>
    </w:p>
    <w:p>
      <w:pPr>
        <w:pStyle w:val="TextBody"/>
        <w:bidi w:val="0"/>
        <w:spacing w:before="240" w:after="283"/>
        <w:jc w:val="both"/>
        <w:rPr>
          <w:rFonts w:ascii="Times New Roman" w:hAnsi="Times New Roman"/>
          <w:sz w:val="20"/>
        </w:rPr>
      </w:pPr>
      <w:r>
        <w:rPr>
          <w:rFonts w:ascii="Outfit;sans-serif" w:hAnsi="Outfit;sans-serif"/>
          <w:color w:val="00002D"/>
          <w:sz w:val="20"/>
        </w:rPr>
        <w:t>Macroeconomic conditions, such as slower growth or recession, changes in international trade policies, including tariffs, volatile economic conditions, higher interest rates, unemployment, inflation, consumer confidence in the economy, consumer debt levels, labor disruptions, work stoppages, or strikes, geop</w:t>
      </w:r>
      <w:r>
        <w:rPr>
          <w:rFonts w:ascii="Outfit;sans-serif" w:hAnsi="Outfit;sans-serif"/>
          <w:color w:val="000000"/>
          <w:sz w:val="20"/>
        </w:rPr>
        <w:t>olitical conflicts, foreign currency exchange rate fluctuations, and other matters that influence consumer spending and preferences, can also impact the volume of vehicle sales, as was evidenced by the global semiconductor chip shortage and</w:t>
      </w:r>
      <w:r>
        <w:rPr>
          <w:rFonts w:ascii="Times New Roman" w:hAnsi="Times New Roman"/>
          <w:color w:val="00002D"/>
          <w:sz w:val="20"/>
        </w:rPr>
        <w:t xml:space="preserve"> </w:t>
      </w:r>
      <w:r>
        <w:rPr>
          <w:rFonts w:ascii="Outfit;sans-serif" w:hAnsi="Outfit;sans-serif"/>
          <w:color w:val="00002D"/>
          <w:sz w:val="20"/>
        </w:rPr>
        <w:t>other supply related shortages.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Digital Wholesale segment operating results have reflected the general seasonality of the wholesale vehicle sales market and macroeconomic conditions of the automotive industry. The U.S. Marketplace segment operating results have reflected the macroeconomic conditions of the automotive industry. However, to date, the U.S. Marketplace segment operating results have not been materially impacted by the general seasonality of the automotive industry. This could possibly change as our business and markets mature.</w:t>
      </w:r>
    </w:p>
    <w:p>
      <w:pPr>
        <w:pStyle w:val="TextBody"/>
        <w:bidi w:val="0"/>
        <w:spacing w:before="240" w:after="283"/>
        <w:jc w:val="both"/>
        <w:rPr>
          <w:rFonts w:ascii="Times New Roman" w:hAnsi="Times New Roman"/>
          <w:sz w:val="20"/>
        </w:rPr>
      </w:pPr>
      <w:r>
        <w:rPr>
          <w:rFonts w:ascii="Outfit;sans-serif" w:hAnsi="Outfit;sans-serif"/>
          <w:color w:val="00002D"/>
          <w:sz w:val="20"/>
        </w:rPr>
        <w:t>As a result, revenue and cost of revenue related to volume will fluctuate accordingly on a quarterly basis. Typical seasonality trends may not be observed in periods where other external factors such as changes in international trade policies, tariffs, higher interest rates, and other macroeconomic issues, more significantly impact the wholesale industry.</w:t>
      </w:r>
      <w:r>
        <w:rPr>
          <w:rFonts w:ascii="Times New Roman" w:hAnsi="Times New Roman"/>
          <w:color w:val="00002D"/>
          <w:sz w:val="20"/>
        </w:rPr>
        <w:t xml:space="preserve">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Outfit;sans-serif" w:hAnsi="Outfit;sans-serif"/>
          <w:b/>
          <w:color w:val="00002D"/>
          <w:sz w:val="32"/>
        </w:rPr>
        <w:t>Off-Balance Sheet Arrangements</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color w:val="00002D"/>
          <w:sz w:val="20"/>
        </w:rPr>
        <w:t>As of March 31, 2025 and December 31, 2024, we did not have any off-balance sheet arrangements or material leases that are less than 12 months in duration, that have or are reasonably likely to have a current or future material effect on our financial condition, changes in financial condition, revenue or expenses, results of operations, liquidity, capital expenditures, or capital resources.</w:t>
      </w:r>
      <w:r>
        <w:rPr>
          <w:rFonts w:ascii="Times New Roman" w:hAnsi="Times New Roman"/>
          <w:color w:val="00002D"/>
          <w:sz w:val="20"/>
        </w:rPr>
        <w:t xml:space="preserve"> </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Critical Accounting Estimates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preparation of the Unaudited Condensed Consolidated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revenue and expense during the reporting period.</w:t>
      </w:r>
    </w:p>
    <w:p>
      <w:pPr>
        <w:pStyle w:val="TextBody"/>
        <w:bidi w:val="0"/>
        <w:spacing w:before="240" w:after="283"/>
        <w:jc w:val="both"/>
        <w:rPr>
          <w:rFonts w:ascii="Times New Roman" w:hAnsi="Times New Roman"/>
          <w:sz w:val="20"/>
        </w:rPr>
      </w:pPr>
      <w:r>
        <w:rPr>
          <w:rFonts w:ascii="Outfit;sans-serif" w:hAnsi="Outfit;sans-serif"/>
          <w:color w:val="00002D"/>
          <w:sz w:val="20"/>
        </w:rPr>
        <w:t>Although we regularly assess these estimates, actual results could differ materially from these estimates. We base our estimates on historical experience and various other assumptions that we believe to be reasonable under the circumstances. Actual results may differ from management’s estimates if these results differ from historical experience, or other assumptions do not turn out to be substantially accurate, even if such assumptions are reasonable when made. Changes in estimates are recognized in the period in which they become known.</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Critical estimates relied upon in preparing the Unaudited Condensed Consolidated Financial Statements include the determination of sales allowance and variable consideration in our revenue recognition, the impairment and useful lives of long-lived assets, the capitalization and useful lives of product, technology, and development costs for website development, internal-use software, and hosting arrangements, and the valuation and recoverability of intangible assets and goodwill. Accordingly, we consider these to be our critical accounting estimates and believe that of our significant accounting policies, these involve the greatest degree of judgment and complexity.</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Due to the partial impairment of the CarOffer reporting unit goodwill and other long-lived assets during the year ended December 31, 2024, in which the CarOffer reporting unit was reduced to its fair value, there remains a risk for future impairment charges if projected future operating results further decline, including as a result of economic conditions or operational challenges, which could be material and negatively affect its operations.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For a detailed explanation of the judgments made in these areas, see Note 2 of the Unaudited Condensed Consolidated Financial Statements included elsewhere in this Quarterly Report and “Management’s Discussion and Analysis of Financial Condition and Results of Operations” in our Annual Report.</w:t>
      </w:r>
    </w:p>
    <w:p>
      <w:pPr>
        <w:pStyle w:val="TextBody"/>
        <w:bidi w:val="0"/>
        <w:spacing w:before="240" w:after="283"/>
        <w:jc w:val="both"/>
        <w:rPr>
          <w:rFonts w:ascii="Times New Roman" w:hAnsi="Times New Roman"/>
          <w:sz w:val="20"/>
        </w:rPr>
      </w:pPr>
      <w:r>
        <w:rPr>
          <w:rFonts w:ascii="Outfit;sans-serif" w:hAnsi="Outfit;sans-serif"/>
          <w:b/>
          <w:color w:val="00002D"/>
          <w:sz w:val="32"/>
        </w:rPr>
        <w:t>Recently Issued Accounting Pronouncements</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Information concerning recently issued accounting pronouncements can be found in Note 2 of the Unaudited Condensed Consolidated Financial Statements included elsewhere in this Quarterly Report.</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3" w:name="item_3_quantitative_qualitative_disclosu"/>
      <w:bookmarkEnd w:id="13"/>
      <w:r>
        <w:rPr>
          <w:rFonts w:ascii="Outfit;sans-serif" w:hAnsi="Outfit;sans-serif"/>
          <w:b/>
          <w:color w:val="3465B0"/>
          <w:sz w:val="40"/>
        </w:rPr>
        <w:t>Item 3. Quantitative and Qualitative Disclosures about Market Risk.</w:t>
      </w:r>
    </w:p>
    <w:p>
      <w:pPr>
        <w:pStyle w:val="TextBody"/>
        <w:bidi w:val="0"/>
        <w:spacing w:before="240" w:after="283"/>
        <w:jc w:val="both"/>
        <w:rPr>
          <w:rFonts w:ascii="Times New Roman" w:hAnsi="Times New Roman"/>
          <w:sz w:val="20"/>
        </w:rPr>
      </w:pPr>
      <w:r>
        <w:rPr>
          <w:rFonts w:ascii="Outfit;sans-serif" w:hAnsi="Outfit;sans-serif"/>
          <w:color w:val="00002D"/>
          <w:sz w:val="20"/>
        </w:rPr>
        <w:t>Market risk represents the risk of loss that may affect our financial position due to adverse changes in financial market prices and rates. We are exposed to market risks as described below.</w:t>
      </w:r>
      <w:r>
        <w:rPr>
          <w:rFonts w:ascii="Times New Roman" w:hAnsi="Times New Roman"/>
          <w:color w:val="00002D"/>
          <w:sz w:val="20"/>
        </w:rPr>
        <w:t xml:space="preserve"> </w:t>
      </w:r>
    </w:p>
    <w:p>
      <w:pPr>
        <w:pStyle w:val="TextBody"/>
        <w:bidi w:val="0"/>
        <w:spacing w:before="240" w:after="283"/>
        <w:jc w:val="both"/>
        <w:rPr>
          <w:rFonts w:ascii="Times New Roman" w:hAnsi="Times New Roman"/>
          <w:sz w:val="20"/>
        </w:rPr>
      </w:pPr>
      <w:r>
        <w:rPr>
          <w:rFonts w:ascii="Outfit;sans-serif" w:hAnsi="Outfit;sans-serif"/>
          <w:b/>
          <w:color w:val="00002D"/>
          <w:sz w:val="32"/>
        </w:rPr>
        <w:t>Interest Rate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our exposure to market risk associated with changes in interest rates related primarily to the 2022 Revolver, which allows us to borrow up to $400.0 million. The applicable interest rate is, at our option, based on a number of different benchmark rates and applicable spreads, as determined by the Consolidated Secured Net Leverage Ratio (as defined in Note 7 of the Unaudited Condensed Consolidated Financial Statements included elsewhere in this Quarterly Report). A fluctuation in interest rates does not have an impact on interest expense unless the 2022 Revolver is drawn upon. Such impact would also be dependent on the amount of the draw. As of March 31, 2025 and December 31, 2024, there were no borrowings and $9.9 million in letters of credit outstanding under the 2022 Revolver Sub-facility associated with our leases, which reduced the borrowing capacity under the 2022 Revolver to $390.1 million.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we had cash and cash equivalents of $172.9 million, which consisted of bank deposits, money market accounts, and mutual funds. As of December 31, 2024, we had cash and cash equivalents of $304.2 million, which consisted of bank deposits, money market accounts, and mutual funds.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Such interest-earning instruments carry a degree of interest rate risk. For the three months ended March 31, 2025 and 2024, fluctuations resulting from changes in the interest rate environment in interest income have not been material to our business, financial condition, or results of operations. Given recent changes in the interest rate environment and in an effort to ensure liquidity, we expect variable returns from our cash equivalents for the foreseeable future.</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We do not enter into investments for trading or speculative purposes and have not used any derivative financial instruments to manage our interest rate risk exposure. As circumstances change, we will continue to reassess our approach to managing these risks.</w:t>
      </w:r>
    </w:p>
    <w:p>
      <w:pPr>
        <w:pStyle w:val="TextBody"/>
        <w:bidi w:val="0"/>
        <w:spacing w:before="240" w:after="283"/>
        <w:jc w:val="both"/>
        <w:rPr>
          <w:rFonts w:ascii="Times New Roman" w:hAnsi="Times New Roman"/>
          <w:sz w:val="20"/>
        </w:rPr>
      </w:pPr>
      <w:r>
        <w:rPr>
          <w:rFonts w:ascii="Outfit;sans-serif" w:hAnsi="Outfit;sans-serif"/>
          <w:b/>
          <w:color w:val="00002D"/>
          <w:sz w:val="32"/>
        </w:rPr>
        <w:t>Inflation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and 2024, we did not believe that inflation had a material effect on our business, financial condition, or results of operations. However, if our costs were to become subject to significant inflationary pressures, we may not be able to fully offset such higher costs through price increases. Our inability or failure to do so could harm our business, operating results, and financial condition. Additionally, inflationary pressures could negatively impact vehicle purchasing behavior, which could have an adverse impact on our financial results.</w:t>
      </w:r>
    </w:p>
    <w:p>
      <w:pPr>
        <w:pStyle w:val="TextBody"/>
        <w:bidi w:val="0"/>
        <w:spacing w:before="240" w:after="283"/>
        <w:jc w:val="both"/>
        <w:rPr>
          <w:rFonts w:ascii="Times New Roman" w:hAnsi="Times New Roman"/>
          <w:sz w:val="20"/>
        </w:rPr>
      </w:pPr>
      <w:r>
        <w:rPr>
          <w:rFonts w:ascii="Outfit;sans-serif" w:hAnsi="Outfit;sans-serif"/>
          <w:b/>
          <w:color w:val="00002D"/>
          <w:sz w:val="32"/>
        </w:rPr>
        <w:t>Foreign Currency Exchange Risk</w:t>
      </w:r>
      <w:r>
        <w:rPr>
          <w:rFonts w:ascii="Times New Roman" w:hAnsi="Times New Roman"/>
          <w:color w:val="00002D"/>
          <w:sz w:val="20"/>
        </w:rPr>
        <w:t xml:space="preserve"> </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As of March 31, 2025 and 2024, we had foreign currency exposures in the British pound, the Euro, and the Canadian dollar, but fluctuations resulting from exchange rates between these foreign currencies and the U.S. dollar have not been material to our business, financial condition, or results of operations. However, fluctuations in exchange rates in the future may have a material impact on our business, financial condition, or results of operations. We have not used any financial instruments to manage our foreign currency exchange risk exposure. As circumstances change, we will continue to reassess our approach to managing these risks.</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bookmarkStart w:id="14" w:name="item_4_controls_procedures"/>
      <w:bookmarkEnd w:id="14"/>
      <w:r>
        <w:rPr>
          <w:rFonts w:ascii="Outfit;sans-serif" w:hAnsi="Outfit;sans-serif"/>
          <w:b/>
          <w:color w:val="3465B0"/>
          <w:sz w:val="40"/>
        </w:rPr>
        <w:t>Item 4. Controls</w:t>
      </w:r>
      <w:r>
        <w:rPr>
          <w:rFonts w:ascii="Times New Roman" w:hAnsi="Times New Roman"/>
          <w:color w:val="3465B0"/>
          <w:sz w:val="20"/>
        </w:rPr>
        <w:t xml:space="preserve"> </w:t>
      </w:r>
      <w:r>
        <w:rPr>
          <w:rFonts w:ascii="Outfit;sans-serif" w:hAnsi="Outfit;sans-serif"/>
          <w:b/>
          <w:color w:val="3465B0"/>
          <w:sz w:val="40"/>
        </w:rPr>
        <w:t>and Procedures</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Evaluation of Disclosure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Based on such evaluation, our principal executive officer and principal financial officer has concluded that as of such date, our disclosure controls and procedures were effective at the reasonable assurance level.</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Changes in Internal Control over Financial Reporting</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3465B0"/>
          <w:sz w:val="40"/>
        </w:rPr>
      </w:pPr>
      <w:bookmarkStart w:id="15" w:name="part_iior_information"/>
      <w:bookmarkEnd w:id="15"/>
      <w:r>
        <w:rPr>
          <w:rFonts w:ascii="Outfit;sans-serif" w:hAnsi="Outfit;sans-serif"/>
          <w:b/>
          <w:color w:val="3465B0"/>
          <w:sz w:val="40"/>
        </w:rPr>
        <w:t>PART II—OTHER INFORMATION</w:t>
      </w:r>
    </w:p>
    <w:p>
      <w:pPr>
        <w:pStyle w:val="TextBody"/>
        <w:bidi w:val="0"/>
        <w:spacing w:before="240" w:after="283"/>
        <w:jc w:val="left"/>
        <w:rPr>
          <w:rFonts w:ascii="Outfit;sans-serif" w:hAnsi="Outfit;sans-serif"/>
          <w:b/>
          <w:color w:val="3465B0"/>
          <w:sz w:val="40"/>
        </w:rPr>
      </w:pPr>
      <w:bookmarkStart w:id="16" w:name="item_1_legal_proceedings"/>
      <w:bookmarkEnd w:id="16"/>
      <w:r>
        <w:rPr>
          <w:rFonts w:ascii="Outfit;sans-serif" w:hAnsi="Outfit;sans-serif"/>
          <w:b/>
          <w:color w:val="3465B0"/>
          <w:sz w:val="40"/>
        </w:rPr>
        <w:t>Item 1. Legal Proceedings.</w:t>
      </w:r>
    </w:p>
    <w:p>
      <w:pPr>
        <w:pStyle w:val="TextBody"/>
        <w:bidi w:val="0"/>
        <w:spacing w:before="240" w:after="283"/>
        <w:jc w:val="both"/>
        <w:rPr>
          <w:rFonts w:ascii="Times New Roman" w:hAnsi="Times New Roman"/>
          <w:sz w:val="20"/>
        </w:rPr>
      </w:pPr>
      <w:r>
        <w:rPr>
          <w:rFonts w:ascii="Outfit;sans-serif" w:hAnsi="Outfit;sans-serif"/>
          <w:color w:val="00002D"/>
          <w:sz w:val="20"/>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r>
        <w:rPr>
          <w:rFonts w:ascii="Times New Roman" w:hAnsi="Times New Roman"/>
          <w:color w:val="00002D"/>
          <w:sz w:val="20"/>
        </w:rPr>
        <w:t xml:space="preserve"> </w:t>
      </w:r>
    </w:p>
    <w:p>
      <w:pPr>
        <w:pStyle w:val="TextBody"/>
        <w:bidi w:val="0"/>
        <w:spacing w:before="240" w:after="283"/>
        <w:jc w:val="left"/>
        <w:rPr>
          <w:rFonts w:ascii="Outfit;sans-serif" w:hAnsi="Outfit;sans-serif"/>
          <w:b/>
          <w:color w:val="3465B0"/>
          <w:sz w:val="40"/>
        </w:rPr>
      </w:pPr>
      <w:bookmarkStart w:id="17" w:name="item_1a_risk_factors"/>
      <w:bookmarkEnd w:id="17"/>
      <w:r>
        <w:rPr>
          <w:rFonts w:ascii="Outfit;sans-serif" w:hAnsi="Outfit;sans-serif"/>
          <w:b/>
          <w:color w:val="3465B0"/>
          <w:sz w:val="40"/>
        </w:rPr>
        <w:t>Item 1A. Risk Factors.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Careful consideration should be given to the factors discussed in Part I, Item 1A, “Risk Factors,” in our Annual Report, which could materially affect our business, financial condition, or future results, in addition to the information set forth in this Quarterly Report. The risk factor set forth below updates the risk factors in our Annual Report.</w:t>
      </w:r>
    </w:p>
    <w:p>
      <w:pPr>
        <w:pStyle w:val="TextBody"/>
        <w:bidi w:val="0"/>
        <w:spacing w:before="240" w:after="283"/>
        <w:jc w:val="both"/>
        <w:rPr>
          <w:rFonts w:ascii="Outfit;sans-serif" w:hAnsi="Outfit;sans-serif"/>
          <w:b/>
          <w:i/>
          <w:color w:val="3465B0"/>
          <w:sz w:val="24"/>
        </w:rPr>
      </w:pPr>
      <w:r>
        <w:rPr>
          <w:rFonts w:ascii="Outfit;sans-serif" w:hAnsi="Outfit;sans-serif"/>
          <w:b/>
          <w:i/>
          <w:color w:val="3465B0"/>
          <w:sz w:val="24"/>
        </w:rPr>
        <w:t>Our business, operations, and financial conditions may be adversely affected by tariffs, trade restrictions, trade disputes, or other changes in trade policy or trade regulation.</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Our business is affected by general business and economic conditions. The imposition of new or increased tariffs, trade restrictions, trade disputes, or other changes in trade policy or trade regulation by the U.S. or other countries could lead to an economic downturn that may impact our business. For example, purchases of new and used automobiles are typically discretionary for consumers and have been, and may continue to be, affected by negative trends in the economy, including the availability and cost of credit, reductions in business and consumer confidence, recessions, interest rates, inflation, stock market volatility, tariffs or the imposition of new tariffs, trade wars, barriers, or restrictions, or threats of such actions, and increased unemployment. Recent developments in international trade relations, including significant changes in U.S. trade policy and actions which include threatened, new, and increased tariffs on other countries and retaliatory tariffs and actions, if maintained for a sufficient period of time, could result in increased costs to American consumers for automobiles and automobile components produced or assembled in those countries, which could decrease demand for automobiles and negatively impact our business. Additionally, tariffs on steel and aluminum, raw materials used significantly in automobile manufacturing, as well as the tariffs that may be imposed on automobile imports, if maintained for a sufficient period of time, could each have similar negative impacts on the prices of cars, consumer demand, and our business. Any significant change or deterioration in economic conditions could have a material adverse effect on our business, operations, results of operations, and financial condition.</w:t>
      </w:r>
    </w:p>
    <w:p>
      <w:pPr>
        <w:pStyle w:val="TextBody"/>
        <w:bidi w:val="0"/>
        <w:jc w:val="left"/>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Outfit;sans-serif" w:hAnsi="Outfit;sans-serif"/>
          <w:b/>
          <w:color w:val="3465B0"/>
          <w:sz w:val="40"/>
        </w:rPr>
      </w:pPr>
      <w:bookmarkStart w:id="18" w:name="item_2_unreg_sale_securities"/>
      <w:bookmarkEnd w:id="18"/>
      <w:r>
        <w:rPr>
          <w:rFonts w:ascii="Outfit;sans-serif" w:hAnsi="Outfit;sans-serif"/>
          <w:b/>
          <w:color w:val="3465B0"/>
          <w:sz w:val="40"/>
        </w:rPr>
        <w:t>Item 2. Unregistered Sales of Equity Securities and Use of Proceeds.</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Recent Sales of Unregistered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None.</w:t>
      </w:r>
    </w:p>
    <w:p>
      <w:pPr>
        <w:pStyle w:val="TextBody"/>
        <w:bidi w:val="0"/>
        <w:spacing w:before="240" w:after="283"/>
        <w:jc w:val="left"/>
        <w:rPr>
          <w:rFonts w:ascii="Outfit;sans-serif" w:hAnsi="Outfit;sans-serif"/>
          <w:b/>
          <w:color w:val="00002D"/>
          <w:sz w:val="32"/>
        </w:rPr>
      </w:pPr>
      <w:r>
        <w:rPr>
          <w:rFonts w:ascii="Outfit;sans-serif" w:hAnsi="Outfit;sans-serif"/>
          <w:b/>
          <w:color w:val="00002D"/>
          <w:sz w:val="32"/>
        </w:rPr>
        <w:t>Purchases of Equity Securities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The following table summarizes information about our purchases of our Class A common stock for each of the months during the three months ended March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50"/>
        <w:gridCol w:w="146"/>
        <w:gridCol w:w="188"/>
        <w:gridCol w:w="1377"/>
        <w:gridCol w:w="146"/>
        <w:gridCol w:w="146"/>
        <w:gridCol w:w="366"/>
        <w:gridCol w:w="1050"/>
        <w:gridCol w:w="146"/>
        <w:gridCol w:w="146"/>
        <w:gridCol w:w="244"/>
        <w:gridCol w:w="1783"/>
        <w:gridCol w:w="146"/>
        <w:gridCol w:w="146"/>
        <w:gridCol w:w="473"/>
        <w:gridCol w:w="1858"/>
        <w:gridCol w:w="394"/>
      </w:tblGrid>
      <w:tr>
        <w:trPr/>
        <w:tc>
          <w:tcPr>
            <w:tcW w:w="1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Total Number of Shares of Common Stock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Weighted Average Price Paid per Share of Common Stock</w:t>
            </w:r>
            <w:r>
              <w:rPr>
                <w:rFonts w:ascii="Outfit;sans-serif" w:hAnsi="Outfit;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Total Number of Shares of Common Stock Purchased as Part of Publicly Announced Plans or Programs</w:t>
            </w:r>
            <w:r>
              <w:rPr>
                <w:rFonts w:ascii="Outfit;sans-serif" w:hAnsi="Outfit;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Outfit;sans-serif" w:hAnsi="Outfit;sans-serif"/>
                <w:b/>
                <w:color w:val="000000"/>
                <w:sz w:val="16"/>
              </w:rPr>
              <w:t>Maximum Number (or Approximate Dollar Value) of Shares of Common Stock that May Yet be Purchased Under the Plans or Programs</w:t>
              <w:br/>
              <w:t>(in thousands)</w:t>
            </w:r>
            <w:r>
              <w:rPr>
                <w:rFonts w:ascii="Outfit;sans-serif" w:hAnsi="Outfit;sans-serif"/>
                <w:b/>
                <w:color w:val="000000"/>
                <w:sz w:val="11"/>
              </w:rPr>
              <w:t>(2)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5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January 1, 2025 through January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5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34.96</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900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199,969</w:t>
            </w:r>
          </w:p>
        </w:tc>
        <w:tc>
          <w:tcPr>
            <w:tcW w:w="394"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February 1, 2025 through February 28,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1,019,978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168,146</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0" w:type="dxa"/>
            <w:tcBorders/>
            <w:shd w:fill="EEF2F7"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Outfit;sans-serif" w:hAnsi="Outfit;sans-serif"/>
                <w:color w:val="000000"/>
                <w:sz w:val="20"/>
              </w:rPr>
              <w:t>March 1, 2025 through March 31, 2025</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4,898,557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50"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31.10</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4,898,557</w:t>
            </w:r>
          </w:p>
        </w:tc>
        <w:tc>
          <w:tcPr>
            <w:tcW w:w="146" w:type="dxa"/>
            <w:tcBorders>
              <w:bottom w:val="single" w:sz="4" w:space="0" w:color="000000"/>
            </w:tcBorders>
            <w:shd w:fill="EEF2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EF2F7"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EEF2F7"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8" w:type="dxa"/>
            <w:tcBorders/>
            <w:shd w:fill="EEF2F7"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15,801</w:t>
            </w:r>
          </w:p>
        </w:tc>
        <w:tc>
          <w:tcPr>
            <w:tcW w:w="394" w:type="dxa"/>
            <w:tcBorders/>
            <w:shd w:fill="EEF2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Outfit;sans-serif" w:hAnsi="Outfit;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5,919,435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31.12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5,919,435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w:t>
            </w:r>
          </w:p>
        </w:tc>
        <w:tc>
          <w:tcPr>
            <w:tcW w:w="1858" w:type="dxa"/>
            <w:tcBorders/>
            <w:shd w:fill="FFFFFF" w:val="clear"/>
            <w:tcMar>
              <w:top w:w="0" w:type="dxa"/>
              <w:left w:w="0" w:type="dxa"/>
              <w:bottom w:w="0" w:type="dxa"/>
              <w:right w:w="0" w:type="dxa"/>
            </w:tcMar>
            <w:vAlign w:val="center"/>
          </w:tcPr>
          <w:p>
            <w:pPr>
              <w:pStyle w:val="TableContents"/>
              <w:bidi w:val="0"/>
              <w:spacing w:before="0" w:after="283"/>
              <w:jc w:val="right"/>
              <w:rPr>
                <w:rFonts w:ascii="Outfit;sans-serif" w:hAnsi="Outfit;sans-serif"/>
                <w:color w:val="000000"/>
                <w:sz w:val="20"/>
              </w:rPr>
            </w:pPr>
            <w:r>
              <w:rPr>
                <w:rFonts w:ascii="Outfit;sans-serif" w:hAnsi="Outfit;sans-serif"/>
                <w:color w:val="000000"/>
                <w:sz w:val="20"/>
              </w:rPr>
              <w:t>15,801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Outfit" w:hAnsi="Outfit"/>
          <w:color w:val="00002D"/>
          <w:sz w:val="16"/>
        </w:rPr>
      </w:pPr>
      <w:r>
        <w:rPr>
          <w:rFonts w:ascii="Outfit" w:hAnsi="Outfit"/>
          <w:color w:val="00002D"/>
          <w:sz w:val="16"/>
        </w:rPr>
        <w:t>(1)</w:t>
      </w:r>
    </w:p>
    <w:p>
      <w:pPr>
        <w:pStyle w:val="TextBody"/>
        <w:bidi w:val="0"/>
        <w:spacing w:before="0" w:after="0"/>
        <w:jc w:val="both"/>
        <w:rPr>
          <w:rFonts w:ascii="Outfit;sans-serif" w:hAnsi="Outfit;sans-serif"/>
          <w:color w:val="00002D"/>
          <w:sz w:val="16"/>
        </w:rPr>
      </w:pPr>
      <w:r>
        <w:rPr>
          <w:rFonts w:ascii="Outfit;sans-serif" w:hAnsi="Outfit;sans-serif"/>
          <w:color w:val="00002D"/>
          <w:sz w:val="16"/>
        </w:rPr>
        <w:t>The weighted average price paid per share of our Class A common stock does not include cost of commissions.</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On November 7, 2024, we announced that our Board of Directors authorized the 2025 Share Repurchase Program pursuant to which we may, from time to time, purchase shares of our Class A common stock for an aggregate purchase price not to exceed $200.0 million. Share repurchases under the 2025 Share Repurchase Program may be made through a variety of methods, including but not limited to open market purchases, privately negotiated transactions, and transactions that may be effected pursuant to one or more plans under Rule 10b5-1 and/or Rule 10b-18 of the Exchange Act. The 2025 Share Repurchase Program does not obligate us to repurchase any minimum dollar amount or number of shares. The 2025 Share Repurchase Program has an effective date of January 1, 2025, and an expiration date of December 31, 2025, and prior to its expiration may be modified, suspended, or discontinued by our Board of Directors at any time without prior notice. All repurchased shares under the 2025 Share Repurchase Program will be retired. We have funded share repurchases and expect to continue to fund share repurchases under the 2025 Share Repurchase Program through cash on hand and cash generated from operations.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total number of shares of our Class A common stock purchased as part of the 2025 Share Repurchase Program was inclusive of any shares purchased but not settled as of March 31, 2025.</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Outfit;sans-serif" w:hAnsi="Outfit;sans-serif"/>
          <w:b/>
          <w:color w:val="3465B0"/>
          <w:sz w:val="40"/>
        </w:rPr>
      </w:pPr>
      <w:bookmarkStart w:id="19" w:name="item_5_other_information"/>
      <w:bookmarkEnd w:id="19"/>
      <w:r>
        <w:rPr>
          <w:rFonts w:ascii="Outfit;sans-serif" w:hAnsi="Outfit;sans-serif"/>
          <w:b/>
          <w:color w:val="3465B0"/>
          <w:sz w:val="40"/>
        </w:rPr>
        <w:t>Item 5. Other Information</w:t>
      </w:r>
    </w:p>
    <w:p>
      <w:pPr>
        <w:pStyle w:val="TextBody"/>
        <w:bidi w:val="0"/>
        <w:spacing w:before="240" w:after="283"/>
        <w:jc w:val="both"/>
        <w:rPr>
          <w:rFonts w:ascii="Outfit;sans-serif" w:hAnsi="Outfit;sans-serif"/>
          <w:b/>
          <w:color w:val="00002D"/>
          <w:sz w:val="32"/>
        </w:rPr>
      </w:pPr>
      <w:r>
        <w:rPr>
          <w:rFonts w:ascii="Outfit;sans-serif" w:hAnsi="Outfit;sans-serif"/>
          <w:b/>
          <w:color w:val="00002D"/>
          <w:sz w:val="32"/>
        </w:rPr>
        <w:t>Rule 10b5-1 Plan Trading Arrangements</w:t>
      </w:r>
    </w:p>
    <w:p>
      <w:pPr>
        <w:pStyle w:val="TextBody"/>
        <w:bidi w:val="0"/>
        <w:spacing w:before="240" w:after="283"/>
        <w:jc w:val="both"/>
        <w:rPr>
          <w:rFonts w:ascii="Times New Roman" w:hAnsi="Times New Roman"/>
          <w:sz w:val="20"/>
        </w:rPr>
      </w:pPr>
      <w:r>
        <w:rPr>
          <w:rFonts w:ascii="Outfit;sans-serif" w:hAnsi="Outfit;sans-serif"/>
          <w:color w:val="00002D"/>
          <w:sz w:val="20"/>
        </w:rPr>
        <w:t>During the three months ended March 31, 2025, the following officers adopted</w:t>
      </w:r>
      <w:r>
        <w:rPr>
          <w:rFonts w:ascii="Times New Roman" w:hAnsi="Times New Roman"/>
          <w:color w:val="00002D"/>
          <w:sz w:val="20"/>
        </w:rPr>
        <w:t xml:space="preserve"> </w:t>
      </w:r>
      <w:r>
        <w:rPr>
          <w:rFonts w:ascii="Outfit;sans-serif" w:hAnsi="Outfit;sans-serif"/>
          <w:color w:val="00002D"/>
          <w:sz w:val="20"/>
        </w:rPr>
        <w:t>a “Rule 10b5-1 trading arrangement” (as defined in Item 408 of Regulation S-K) that is intended to satisfy the affirmative defense of Rule 10b5-1(c) under the Exchange Act and our policies on insider trading: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45"/>
        <w:gridCol w:w="146"/>
        <w:gridCol w:w="1207"/>
        <w:gridCol w:w="146"/>
        <w:gridCol w:w="5017"/>
        <w:gridCol w:w="146"/>
        <w:gridCol w:w="1498"/>
      </w:tblGrid>
      <w:tr>
        <w:trPr/>
        <w:tc>
          <w:tcPr>
            <w:tcW w:w="2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2045"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Name &amp; 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7"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Date Adopted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17"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20"/>
              </w:rPr>
            </w:pPr>
            <w:r>
              <w:rPr>
                <w:rFonts w:ascii="Outfit;sans-serif" w:hAnsi="Outfit;sans-serif"/>
                <w:b/>
                <w:color w:val="000000"/>
                <w:sz w:val="20"/>
              </w:rPr>
              <w:t>Aggregate Number of Shares of Class A Common Stock to be Purchased or Sold Pursuant to Trading Arrangement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8"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Outfit;sans-serif" w:hAnsi="Outfit;sans-serif"/>
                <w:b/>
                <w:color w:val="000000"/>
                <w:sz w:val="20"/>
              </w:rPr>
              <w:t>Expiration Date</w:t>
            </w:r>
            <w:r>
              <w:rPr>
                <w:rFonts w:ascii="Outfit;sans-serif" w:hAnsi="Outfit;sans-serif"/>
                <w:b/>
                <w:color w:val="000000"/>
                <w:sz w:val="13"/>
              </w:rPr>
              <w:t>(1)</w:t>
            </w:r>
          </w:p>
        </w:tc>
      </w:tr>
      <w:tr>
        <w:trPr/>
        <w:tc>
          <w:tcPr>
            <w:tcW w:w="2045"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Ismail Elshareef,</w:t>
            </w:r>
            <w:r>
              <w:rPr>
                <w:rFonts w:ascii="Times New Roman" w:hAnsi="Times New Roman"/>
                <w:color w:val="000000"/>
                <w:sz w:val="20"/>
              </w:rPr>
              <w:t xml:space="preserve"> </w:t>
            </w:r>
          </w:p>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Chief Product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March 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Up to 28,292</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13, 2026</w:t>
            </w:r>
          </w:p>
        </w:tc>
      </w:tr>
      <w:tr>
        <w:trPr/>
        <w:tc>
          <w:tcPr>
            <w:tcW w:w="20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45"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Javier Zamora,</w:t>
            </w:r>
            <w:r>
              <w:rPr>
                <w:rFonts w:ascii="Times New Roman" w:hAnsi="Times New Roman"/>
                <w:color w:val="000000"/>
                <w:sz w:val="20"/>
              </w:rPr>
              <w:t xml:space="preserve"> </w:t>
            </w:r>
          </w:p>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General Counsel and Corporate Secretary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March 3,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Up to 47,116</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February 27, 2026</w:t>
            </w:r>
          </w:p>
        </w:tc>
      </w:tr>
      <w:tr>
        <w:trPr/>
        <w:tc>
          <w:tcPr>
            <w:tcW w:w="20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Dafna Sarnoff,</w:t>
            </w:r>
            <w:r>
              <w:rPr>
                <w:rFonts w:ascii="Times New Roman" w:hAnsi="Times New Roman"/>
                <w:color w:val="000000"/>
                <w:sz w:val="20"/>
              </w:rPr>
              <w:t xml:space="preserve"> </w:t>
            </w:r>
          </w:p>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Chief Marketing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March 7, 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Outfit;sans-serif" w:hAnsi="Outfit;sans-serif"/>
                <w:color w:val="000000"/>
                <w:sz w:val="20"/>
              </w:rPr>
              <w:t>Up to 42,323</w:t>
            </w:r>
            <w:r>
              <w:rPr>
                <w:rFonts w:ascii="Times New Roman" w:hAnsi="Times New Roman"/>
                <w:color w:val="000000"/>
                <w:sz w:val="20"/>
              </w:rPr>
              <w:t xml:space="preserve"> </w:t>
            </w:r>
            <w:r>
              <w:rPr>
                <w:rFonts w:ascii="Outfit;sans-serif" w:hAnsi="Outfit;sans-serif"/>
                <w:color w:val="000000"/>
                <w:sz w:val="20"/>
              </w:rPr>
              <w:t>shares to be sold</w:t>
            </w:r>
            <w:r>
              <w:rPr>
                <w:rFonts w:ascii="Outfit;sans-serif" w:hAnsi="Outfit;sans-serif"/>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98"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April 30, 2026</w:t>
            </w:r>
          </w:p>
        </w:tc>
      </w:tr>
    </w:tbl>
    <w:p>
      <w:pPr>
        <w:pStyle w:val="TextBody"/>
        <w:bidi w:val="0"/>
        <w:jc w:val="both"/>
        <w:rPr/>
      </w:pPr>
      <w:r>
        <w:rPr/>
        <w:t> </w:t>
      </w:r>
    </w:p>
    <w:p>
      <w:pPr>
        <w:pStyle w:val="TextBody"/>
        <w:bidi w:val="0"/>
        <w:spacing w:before="120" w:after="283"/>
        <w:jc w:val="both"/>
        <w:rPr>
          <w:rFonts w:ascii="Outfit" w:hAnsi="Outfit"/>
          <w:color w:val="00002D"/>
          <w:sz w:val="16"/>
        </w:rPr>
      </w:pPr>
      <w:r>
        <w:rPr>
          <w:rFonts w:ascii="Outfit" w:hAnsi="Outfit"/>
          <w:color w:val="00002D"/>
          <w:sz w:val="16"/>
        </w:rPr>
        <w:t>(1)</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Rule 10b5-1 trading arrangement permits transactions through and including the earlier to occur of (a) the completion of all sales or (b) the date listed in the table. The arrangement also provides for automatic expiration in the event of liquidation, dissolution, bankruptcy, insolvency, or death of the adopting person.</w:t>
      </w:r>
    </w:p>
    <w:p>
      <w:pPr>
        <w:pStyle w:val="TextBody"/>
        <w:bidi w:val="0"/>
        <w:spacing w:before="120" w:after="283"/>
        <w:jc w:val="both"/>
        <w:rPr>
          <w:rFonts w:ascii="Outfit" w:hAnsi="Outfit"/>
          <w:color w:val="00002D"/>
          <w:sz w:val="16"/>
        </w:rPr>
      </w:pPr>
      <w:r>
        <w:rPr>
          <w:rFonts w:ascii="Outfit" w:hAnsi="Outfit"/>
          <w:color w:val="00002D"/>
          <w:sz w:val="16"/>
        </w:rPr>
        <w:t>(2)</w:t>
      </w:r>
    </w:p>
    <w:p>
      <w:pPr>
        <w:pStyle w:val="TextBody"/>
        <w:bidi w:val="0"/>
        <w:spacing w:before="120" w:after="283"/>
        <w:jc w:val="both"/>
        <w:rPr/>
      </w:pPr>
      <w:r>
        <w:rPr>
          <w:rFonts w:ascii="Outfit;sans-serif" w:hAnsi="Outfit;sans-serif"/>
          <w:color w:val="00002D"/>
          <w:sz w:val="16"/>
        </w:rPr>
        <w:t>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Mr. Elshareef’s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 Furthermore, the Rule 10b5-1 trading arrangement provides for the sale of up to 9,273</w:t>
      </w:r>
      <w:r>
        <w:rPr>
          <w:color w:val="00002D"/>
        </w:rPr>
        <w:t xml:space="preserve"> </w:t>
      </w:r>
      <w:r>
        <w:rPr>
          <w:rFonts w:ascii="Outfit;sans-serif" w:hAnsi="Outfit;sans-serif"/>
          <w:color w:val="00002D"/>
          <w:sz w:val="16"/>
        </w:rPr>
        <w:t>shares directly held by Mr. Elshareef and the sale of up to 50% of the net shares that vest on certain applicable vesting dates, up to 19,019</w:t>
      </w:r>
      <w:r>
        <w:rPr>
          <w:color w:val="00002D"/>
        </w:rPr>
        <w:t xml:space="preserve"> </w:t>
      </w:r>
      <w:r>
        <w:rPr>
          <w:rFonts w:ascii="Outfit;sans-serif" w:hAnsi="Outfit;sans-serif"/>
          <w:color w:val="00002D"/>
          <w:sz w:val="16"/>
        </w:rPr>
        <w:t>shares.</w:t>
      </w:r>
    </w:p>
    <w:p>
      <w:pPr>
        <w:pStyle w:val="TextBody"/>
        <w:bidi w:val="0"/>
        <w:spacing w:before="120" w:after="283"/>
        <w:jc w:val="both"/>
        <w:rPr>
          <w:rFonts w:ascii="Outfit" w:hAnsi="Outfit"/>
          <w:color w:val="00002D"/>
          <w:sz w:val="16"/>
        </w:rPr>
      </w:pPr>
      <w:r>
        <w:rPr>
          <w:rFonts w:ascii="Outfit" w:hAnsi="Outfit"/>
          <w:color w:val="00002D"/>
          <w:sz w:val="16"/>
        </w:rPr>
        <w:t>(3)</w:t>
      </w:r>
    </w:p>
    <w:p>
      <w:pPr>
        <w:pStyle w:val="TextBody"/>
        <w:bidi w:val="0"/>
        <w:spacing w:before="120" w:after="283"/>
        <w:jc w:val="both"/>
        <w:rPr/>
      </w:pPr>
      <w:r>
        <w:rPr>
          <w:rFonts w:ascii="Outfit;sans-serif" w:hAnsi="Outfit;sans-serif"/>
          <w:color w:val="00002D"/>
          <w:sz w:val="16"/>
        </w:rPr>
        <w:t>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Mr. Zamora’s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 Furthermore, the Rule 10b5-1 trading arrangement provides for the sale of up to 12,265</w:t>
      </w:r>
      <w:r>
        <w:rPr>
          <w:color w:val="00002D"/>
        </w:rPr>
        <w:t xml:space="preserve"> </w:t>
      </w:r>
      <w:r>
        <w:rPr>
          <w:rFonts w:ascii="Outfit;sans-serif" w:hAnsi="Outfit;sans-serif"/>
          <w:color w:val="00002D"/>
          <w:sz w:val="16"/>
        </w:rPr>
        <w:t>shares directly held by Mr. Zamora.</w:t>
      </w:r>
    </w:p>
    <w:p>
      <w:pPr>
        <w:pStyle w:val="TextBody"/>
        <w:bidi w:val="0"/>
        <w:spacing w:before="120" w:after="283"/>
        <w:jc w:val="both"/>
        <w:rPr>
          <w:rFonts w:ascii="Outfit" w:hAnsi="Outfit"/>
          <w:color w:val="00002D"/>
          <w:sz w:val="16"/>
        </w:rPr>
      </w:pPr>
      <w:r>
        <w:rPr>
          <w:rFonts w:ascii="Outfit" w:hAnsi="Outfit"/>
          <w:color w:val="00002D"/>
          <w:sz w:val="16"/>
        </w:rPr>
        <w:t>(4)</w:t>
      </w:r>
    </w:p>
    <w:p>
      <w:pPr>
        <w:pStyle w:val="TextBody"/>
        <w:bidi w:val="0"/>
        <w:spacing w:before="120" w:after="283"/>
        <w:jc w:val="both"/>
        <w:rPr>
          <w:rFonts w:ascii="Outfit;sans-serif" w:hAnsi="Outfit;sans-serif"/>
          <w:color w:val="00002D"/>
          <w:sz w:val="16"/>
        </w:rPr>
      </w:pPr>
      <w:r>
        <w:rPr>
          <w:rFonts w:ascii="Outfit;sans-serif" w:hAnsi="Outfit;sans-serif"/>
          <w:color w:val="00002D"/>
          <w:sz w:val="16"/>
        </w:rPr>
        <w:t>The Rule 10b5-1 trading arrangement includes the sale of shares to be received upon future vesting of certain outstanding equity awards, net of any shares withheld by us to satisfy applicable taxes. The number of shares to be withheld, and thus the exact number of shares to be sold pursuant to Ms. Sarnoff’s Rule 10b5-1 trading arrangement, can only be determined upon the occurrence of the future vesting events. For purposes of this disclosure, we have reported the gross number of shares to be received upon the future vesting of such equity awards, before subtracting any shares to be withheld by us to satisfy applicable taxes in connection with such future vesting events.</w:t>
      </w:r>
    </w:p>
    <w:p>
      <w:pPr>
        <w:pStyle w:val="TextBody"/>
        <w:bidi w:val="0"/>
        <w:spacing w:before="240" w:after="283"/>
        <w:jc w:val="both"/>
        <w:rPr>
          <w:rFonts w:ascii="Times New Roman" w:hAnsi="Times New Roman"/>
          <w:sz w:val="20"/>
        </w:rPr>
      </w:pPr>
      <w:r>
        <w:rPr>
          <w:rFonts w:ascii="Outfit;sans-serif" w:hAnsi="Outfit;sans-serif"/>
          <w:color w:val="00002D"/>
          <w:sz w:val="20"/>
        </w:rPr>
        <w:t>Other than those disclosed above, none of our directors or officers adopted, modified, or terminated</w:t>
      </w:r>
      <w:r>
        <w:rPr>
          <w:rFonts w:ascii="Times New Roman" w:hAnsi="Times New Roman"/>
          <w:color w:val="00002D"/>
          <w:sz w:val="20"/>
        </w:rPr>
        <w:t xml:space="preserve"> </w:t>
      </w:r>
      <w:r>
        <w:rPr>
          <w:rFonts w:ascii="Outfit;sans-serif" w:hAnsi="Outfit;sans-serif"/>
          <w:color w:val="00002D"/>
          <w:sz w:val="20"/>
        </w:rPr>
        <w:t>a “Rule 10b5-1 trading arrangement” or “non-Rule 10b5-1 trading arrangement,” in each case as defined in Item 408 of Regulation S-K.</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Outfit;sans-serif" w:hAnsi="Outfit;sans-serif"/>
          <w:b/>
          <w:color w:val="3465B0"/>
          <w:sz w:val="40"/>
        </w:rPr>
      </w:pPr>
      <w:bookmarkStart w:id="20" w:name="item_6_exhibits"/>
      <w:bookmarkEnd w:id="20"/>
      <w:r>
        <w:rPr>
          <w:rFonts w:ascii="Outfit;sans-serif" w:hAnsi="Outfit;sans-serif"/>
          <w:b/>
          <w:color w:val="3465B0"/>
          <w:sz w:val="40"/>
        </w:rPr>
        <w:t>Item 6. Exhibits.</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The exhibits listed below are filed, furnished, or incorporated by reference into this Quarterly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54"/>
        <w:gridCol w:w="146"/>
        <w:gridCol w:w="4391"/>
        <w:gridCol w:w="146"/>
        <w:gridCol w:w="586"/>
        <w:gridCol w:w="146"/>
        <w:gridCol w:w="826"/>
        <w:gridCol w:w="146"/>
        <w:gridCol w:w="646"/>
        <w:gridCol w:w="146"/>
        <w:gridCol w:w="826"/>
        <w:gridCol w:w="146"/>
        <w:gridCol w:w="1200"/>
      </w:tblGrid>
      <w:tr>
        <w:trPr/>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8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8"/>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Incorporated by Reference</w:t>
            </w:r>
          </w:p>
        </w:tc>
        <w:tc>
          <w:tcPr>
            <w:tcW w:w="120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54" w:type="dxa"/>
            <w:tcBorders>
              <w:bottom w:val="single" w:sz="4" w:space="0" w:color="000000"/>
            </w:tcBorders>
            <w:tcMar>
              <w:top w:w="0" w:type="dxa"/>
              <w:left w:w="0" w:type="dxa"/>
              <w:right w:w="0" w:type="dxa"/>
            </w:tcMar>
            <w:vAlign w:val="center"/>
          </w:tcPr>
          <w:p>
            <w:pPr>
              <w:pStyle w:val="TableContents"/>
              <w:bidi w:val="0"/>
              <w:jc w:val="left"/>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Outfit;sans-serif" w:hAnsi="Outfit;sans-serif"/>
                <w:b/>
                <w:color w:val="000000"/>
                <w:sz w:val="16"/>
              </w:rPr>
            </w:pPr>
            <w:r>
              <w:rPr>
                <w:rFonts w:ascii="Outfit;sans-serif" w:hAnsi="Outfit;sans-serif"/>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Filing</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Exhibit</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00" w:type="dxa"/>
            <w:tcBorders>
              <w:bottom w:val="single" w:sz="4" w:space="0" w:color="000000"/>
            </w:tcBorders>
            <w:tcMar>
              <w:top w:w="0" w:type="dxa"/>
              <w:left w:w="0" w:type="dxa"/>
              <w:right w:w="0" w:type="dxa"/>
            </w:tcMar>
            <w:vAlign w:val="center"/>
          </w:tcPr>
          <w:p>
            <w:pPr>
              <w:pStyle w:val="TableContents"/>
              <w:bidi w:val="0"/>
              <w:jc w:val="center"/>
              <w:rPr>
                <w:rFonts w:ascii="Outfit;sans-serif" w:hAnsi="Outfit;sans-serif"/>
                <w:b/>
                <w:color w:val="000000"/>
                <w:sz w:val="16"/>
              </w:rPr>
            </w:pPr>
            <w:r>
              <w:rPr>
                <w:rFonts w:ascii="Outfit;sans-serif" w:hAnsi="Outfit;sans-serif"/>
                <w:b/>
                <w:color w:val="000000"/>
                <w:sz w:val="16"/>
              </w:rPr>
              <w:t>Filed or Furnished</w:t>
            </w:r>
          </w:p>
          <w:p>
            <w:pPr>
              <w:pStyle w:val="TableContents"/>
              <w:bidi w:val="0"/>
              <w:spacing w:before="0" w:after="283"/>
              <w:jc w:val="center"/>
              <w:rPr>
                <w:rFonts w:ascii="Outfit;sans-serif" w:hAnsi="Outfit;sans-serif"/>
                <w:b/>
                <w:color w:val="000000"/>
                <w:sz w:val="16"/>
              </w:rPr>
            </w:pPr>
            <w:r>
              <w:rPr>
                <w:rFonts w:ascii="Outfit;sans-serif" w:hAnsi="Outfit;sans-serif"/>
                <w:b/>
                <w:color w:val="000000"/>
                <w:sz w:val="16"/>
              </w:rPr>
              <w:t>Herewith</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10_1.htm">
              <w:r>
                <w:rPr>
                  <w:rStyle w:val="InternetLink"/>
                  <w:rFonts w:ascii="Outfit;sans-serif" w:hAnsi="Outfit;sans-serif"/>
                  <w:color w:val="3465B0"/>
                  <w:sz w:val="20"/>
                  <w:u w:val="single"/>
                </w:rPr>
                <w:t>Separation Agreement and General Release, dated February 23, 2025, by and between the Registrant and Elisa Palazzo.*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1_1.htm">
              <w:r>
                <w:rPr>
                  <w:rStyle w:val="InternetLink"/>
                  <w:rFonts w:ascii="Outfit;sans-serif" w:hAnsi="Outfit;sans-serif"/>
                  <w:color w:val="3465B0"/>
                  <w:sz w:val="20"/>
                  <w:u w:val="single"/>
                </w:rPr>
                <w:t>Certification of Principal Executive Officer and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pPr>
            <w:hyperlink w:anchor="carg-ex32_1.htm">
              <w:r>
                <w:rPr>
                  <w:rStyle w:val="InternetLink"/>
                  <w:rFonts w:ascii="Outfit;sans-serif" w:hAnsi="Outfit;sans-serif"/>
                  <w:color w:val="3465B0"/>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r>
        <w:trPr/>
        <w:tc>
          <w:tcPr>
            <w:tcW w:w="854"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1" w:type="dxa"/>
            <w:tcBorders/>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Cover Page Interactive Data File (Embedded within the Inline XBRL document and included in 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0" w:type="dxa"/>
            <w:tcBorders/>
            <w:tcMar>
              <w:top w:w="0" w:type="dxa"/>
              <w:left w:w="0" w:type="dxa"/>
              <w:bottom w:w="0" w:type="dxa"/>
              <w:right w:w="0" w:type="dxa"/>
            </w:tcMar>
            <w:vAlign w:val="center"/>
          </w:tcPr>
          <w:p>
            <w:pPr>
              <w:pStyle w:val="TableContents"/>
              <w:bidi w:val="0"/>
              <w:spacing w:before="0" w:after="283"/>
              <w:jc w:val="center"/>
              <w:rPr>
                <w:rFonts w:ascii="Outfit;sans-serif" w:hAnsi="Outfit;sans-serif"/>
                <w:color w:val="000000"/>
                <w:sz w:val="20"/>
              </w:rPr>
            </w:pPr>
            <w:r>
              <w:rPr>
                <w:rFonts w:ascii="Outfit;sans-serif" w:hAnsi="Outfit;sans-serif"/>
                <w:color w:val="000000"/>
                <w:sz w:val="20"/>
              </w:rPr>
              <w:t>X</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jc w:val="both"/>
        <w:rPr>
          <w:rFonts w:ascii="Outfit;sans-serif" w:hAnsi="Outfit;sans-serif"/>
          <w:color w:val="000000"/>
          <w:sz w:val="20"/>
        </w:rPr>
      </w:pPr>
      <w:r>
        <w:rPr>
          <w:rFonts w:ascii="Outfit;sans-serif" w:hAnsi="Outfit;sans-serif"/>
          <w:color w:val="000000"/>
          <w:sz w:val="20"/>
        </w:rPr>
        <w:t># Indicates a management contract or compensatory plan.</w:t>
      </w:r>
    </w:p>
    <w:p>
      <w:pPr>
        <w:pStyle w:val="TextBody"/>
        <w:bidi w:val="0"/>
        <w:jc w:val="both"/>
        <w:rPr/>
      </w:pPr>
      <w:r>
        <w:rPr/>
        <w:t> </w:t>
      </w:r>
    </w:p>
    <w:p>
      <w:pPr>
        <w:pStyle w:val="TextBody"/>
        <w:bidi w:val="0"/>
        <w:jc w:val="both"/>
        <w:rPr>
          <w:rFonts w:ascii="Outfit;sans-serif" w:hAnsi="Outfit;sans-serif"/>
          <w:color w:val="00002D"/>
          <w:sz w:val="20"/>
        </w:rPr>
      </w:pPr>
      <w:r>
        <w:rPr>
          <w:rFonts w:ascii="Outfit;sans-serif" w:hAnsi="Outfit;sans-serif"/>
          <w:color w:val="00002D"/>
          <w:sz w:val="20"/>
        </w:rPr>
        <w:t>* The exhibits and schedules to this agreement have been omitted pursuant to Item 601(b)(2) of Regulation S-K and the Registrant agrees to furnish supplementally a copy of any omitted schedule to the staff of the SEC upon request.</w:t>
      </w:r>
    </w:p>
    <w:p>
      <w:pPr>
        <w:pStyle w:val="TextBody"/>
        <w:bidi w:val="0"/>
        <w:spacing w:before="120" w:after="283"/>
        <w:jc w:val="both"/>
        <w:rPr>
          <w:rFonts w:ascii="Outfit;sans-serif" w:hAnsi="Outfit;sans-serif"/>
          <w:color w:val="00002D"/>
          <w:sz w:val="20"/>
        </w:rPr>
      </w:pPr>
      <w:r>
        <w:rPr>
          <w:rFonts w:ascii="Outfit;sans-serif" w:hAnsi="Outfit;sans-serif"/>
          <w:color w:val="00002D"/>
          <w:sz w:val="20"/>
        </w:rPr>
        <w:t>** The certification furnished in Exhibit 32.1 hereto is deemed to accompany this Quarterly Report and will not be deemed “filed” for purposes of Section 18 of the Exchange Act, except to the extent that the Registrant specifically incorporates it by reference.</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Outfit;sans-serif" w:hAnsi="Outfit;sans-serif"/>
          <w:b/>
          <w:color w:val="00002D"/>
          <w:sz w:val="32"/>
        </w:rPr>
      </w:pPr>
      <w:bookmarkStart w:id="21" w:name="signatures"/>
      <w:bookmarkEnd w:id="21"/>
      <w:r>
        <w:rPr>
          <w:rFonts w:ascii="Outfit;sans-serif" w:hAnsi="Outfit;sans-serif"/>
          <w:b/>
          <w:color w:val="00002D"/>
          <w:sz w:val="32"/>
        </w:rPr>
        <w:t>SIGNATURES</w:t>
      </w:r>
    </w:p>
    <w:p>
      <w:pPr>
        <w:pStyle w:val="TextBody"/>
        <w:bidi w:val="0"/>
        <w:spacing w:before="240" w:after="283"/>
        <w:jc w:val="both"/>
        <w:rPr>
          <w:rFonts w:ascii="Outfit;sans-serif" w:hAnsi="Outfit;sans-serif"/>
          <w:color w:val="00002D"/>
          <w:sz w:val="20"/>
        </w:rPr>
      </w:pPr>
      <w:r>
        <w:rPr>
          <w:rFonts w:ascii="Outfit;sans-serif" w:hAnsi="Outfit;sans-serif"/>
          <w:color w:val="00002D"/>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57"/>
        <w:gridCol w:w="146"/>
        <w:gridCol w:w="414"/>
        <w:gridCol w:w="7888"/>
      </w:tblGrid>
      <w:tr>
        <w:trPr/>
        <w:tc>
          <w:tcPr>
            <w:tcW w:w="1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888" w:type="dxa"/>
            <w:tcBorders/>
            <w:vAlign w:val="center"/>
          </w:tcPr>
          <w:p>
            <w:pPr>
              <w:pStyle w:val="TableContents"/>
              <w:bidi w:val="0"/>
              <w:spacing w:before="0" w:after="283"/>
              <w:jc w:val="left"/>
              <w:rPr>
                <w:sz w:val="4"/>
                <w:szCs w:val="4"/>
              </w:rPr>
            </w:pPr>
            <w:r>
              <w:rPr>
                <w:sz w:val="4"/>
                <w:szCs w:val="4"/>
              </w:rPr>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b/>
                <w:color w:val="000000"/>
                <w:sz w:val="20"/>
              </w:rPr>
            </w:pPr>
            <w:r>
              <w:rPr>
                <w:rFonts w:ascii="Outfit;sans-serif" w:hAnsi="Outfit;sans-serif"/>
                <w:b/>
                <w:color w:val="000000"/>
                <w:sz w:val="20"/>
              </w:rPr>
              <w:t>CarGurus, Inc.</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7"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Outfit;sans-serif" w:hAnsi="Outfit;sans-serif"/>
                <w:color w:val="00002D"/>
                <w:sz w:val="20"/>
              </w:rPr>
            </w:pPr>
            <w:r>
              <w:rPr>
                <w:rFonts w:ascii="Outfit;sans-serif" w:hAnsi="Outfit;sans-serif"/>
                <w:color w:val="00002D"/>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By:</w:t>
            </w:r>
          </w:p>
        </w:tc>
        <w:tc>
          <w:tcPr>
            <w:tcW w:w="78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/s/ Jason Trevisan</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8"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2D"/>
                <w:sz w:val="20"/>
              </w:rPr>
            </w:pPr>
            <w:r>
              <w:rPr>
                <w:rFonts w:ascii="Outfit;sans-serif" w:hAnsi="Outfit;sans-serif"/>
                <w:color w:val="00002D"/>
                <w:sz w:val="20"/>
              </w:rPr>
              <w:t>Jason Trevisan</w:t>
            </w:r>
          </w:p>
        </w:tc>
      </w:tr>
      <w:tr>
        <w:trPr/>
        <w:tc>
          <w:tcPr>
            <w:tcW w:w="1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8" w:type="dxa"/>
            <w:tcBorders/>
            <w:shd w:fill="FFFFFF" w:val="clear"/>
            <w:tcMar>
              <w:top w:w="0" w:type="dxa"/>
              <w:left w:w="0" w:type="dxa"/>
              <w:bottom w:w="0" w:type="dxa"/>
              <w:right w:w="0" w:type="dxa"/>
            </w:tcMar>
            <w:vAlign w:val="center"/>
          </w:tcPr>
          <w:p>
            <w:pPr>
              <w:pStyle w:val="TableContents"/>
              <w:bidi w:val="0"/>
              <w:jc w:val="left"/>
              <w:rPr>
                <w:rFonts w:ascii="Outfit;sans-serif" w:hAnsi="Outfit;sans-serif"/>
                <w:color w:val="00002D"/>
                <w:sz w:val="20"/>
              </w:rPr>
            </w:pPr>
            <w:r>
              <w:rPr>
                <w:rFonts w:ascii="Outfit;sans-serif" w:hAnsi="Outfit;sans-serif"/>
                <w:color w:val="00002D"/>
                <w:sz w:val="20"/>
              </w:rPr>
              <w:t>Chief Executive Officer</w:t>
            </w:r>
          </w:p>
          <w:p>
            <w:pPr>
              <w:pStyle w:val="TableContents"/>
              <w:bidi w:val="0"/>
              <w:spacing w:before="0" w:after="283"/>
              <w:jc w:val="left"/>
              <w:rPr>
                <w:rFonts w:ascii="Outfit;sans-serif" w:hAnsi="Outfit;sans-serif"/>
                <w:i/>
                <w:color w:val="00002D"/>
                <w:sz w:val="20"/>
              </w:rPr>
            </w:pPr>
            <w:r>
              <w:rPr>
                <w:rFonts w:ascii="Outfit;sans-serif" w:hAnsi="Outfit;sans-serif"/>
                <w:i/>
                <w:color w:val="00002D"/>
                <w:sz w:val="20"/>
              </w:rPr>
              <w:t>(Principal Executive Officer, Principal Financial Officer, and Principal Accounting Officer)</w:t>
            </w:r>
          </w:p>
        </w:tc>
      </w:tr>
    </w:tbl>
    <w:p>
      <w:pPr>
        <w:pStyle w:val="TextBody"/>
        <w:bidi w:val="0"/>
        <w:jc w:val="both"/>
        <w:rPr/>
      </w:pPr>
      <w:r>
        <w:rPr/>
        <w:t> </w:t>
      </w:r>
    </w:p>
    <w:p>
      <w:pPr>
        <w:pStyle w:val="TextBody"/>
        <w:bidi w:val="0"/>
        <w:spacing w:before="240" w:after="283"/>
        <w:jc w:val="center"/>
        <w:rPr>
          <w:rFonts w:ascii="Outfit;sans-serif" w:hAnsi="Outfit;sans-serif"/>
          <w:color w:val="000000"/>
          <w:sz w:val="20"/>
        </w:rPr>
      </w:pPr>
      <w:r>
        <w:rPr>
          <w:rFonts w:ascii="Outfit;sans-serif" w:hAnsi="Outfit;sans-serif"/>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u w:val="single"/>
        </w:rPr>
      </w:pPr>
      <w:bookmarkStart w:id="22" w:name="carg-ex10_1.htm"/>
      <w:bookmarkStart w:id="23" w:name="kscargex10_1"/>
      <w:bookmarkEnd w:id="22"/>
      <w:bookmarkEnd w:id="23"/>
      <w:r>
        <w:rPr>
          <w:rFonts w:ascii="Times New Roman" w:hAnsi="Times New Roman"/>
          <w:b/>
          <w:color w:val="000000"/>
          <w:sz w:val="24"/>
          <w:u w:val="single"/>
        </w:rPr>
        <w:t>Exhibit 10.1</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SEPARATION AGREEMENT AND GENERAL RELEASE</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February 23, 2025</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Elisa Palazzo</w:t>
      </w:r>
    </w:p>
    <w:p>
      <w:pPr>
        <w:pStyle w:val="TextBody"/>
        <w:bidi w:val="0"/>
        <w:jc w:val="both"/>
        <w:rPr>
          <w:rFonts w:ascii="Times New Roman" w:hAnsi="Times New Roman"/>
          <w:b/>
          <w:color w:val="000000"/>
          <w:sz w:val="24"/>
        </w:rPr>
      </w:pPr>
      <w:r>
        <w:rPr>
          <w:rFonts w:ascii="Times New Roman" w:hAnsi="Times New Roman"/>
          <w:b/>
          <w:color w:val="000000"/>
          <w:sz w:val="24"/>
        </w:rPr>
        <w:t>[address]</w:t>
      </w:r>
    </w:p>
    <w:p>
      <w:pPr>
        <w:pStyle w:val="TextBody"/>
        <w:bidi w:val="0"/>
        <w:jc w:val="both"/>
        <w:rPr>
          <w:rFonts w:ascii="Times New Roman" w:hAnsi="Times New Roman"/>
          <w:b/>
          <w:color w:val="000000"/>
          <w:sz w:val="24"/>
        </w:rPr>
      </w:pPr>
      <w:r>
        <w:rPr>
          <w:rFonts w:ascii="Times New Roman" w:hAnsi="Times New Roman"/>
          <w:b/>
          <w:color w:val="000000"/>
          <w:sz w:val="24"/>
        </w:rPr>
        <w:t>[address]</w:t>
      </w:r>
    </w:p>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color w:val="000000"/>
          <w:sz w:val="24"/>
        </w:rPr>
        <w:t>This Separation Agreement and General Release (the “Agreement”) is entered into by and between CarGurus, Inc.</w:t>
      </w:r>
      <w:r>
        <w:rPr>
          <w:rFonts w:ascii="Times New Roman" w:hAnsi="Times New Roman"/>
          <w:color w:val="202124"/>
          <w:sz w:val="20"/>
        </w:rPr>
        <w:t xml:space="preserve"> </w:t>
      </w:r>
      <w:r>
        <w:rPr>
          <w:rFonts w:ascii="Times New Roman" w:hAnsi="Times New Roman"/>
          <w:color w:val="000000"/>
          <w:sz w:val="24"/>
        </w:rPr>
        <w:t>(referred to throughout this Agreement as “Employer”) and Elisa Palazzo</w:t>
      </w:r>
      <w:r>
        <w:rPr>
          <w:rFonts w:ascii="Times New Roman" w:hAnsi="Times New Roman"/>
          <w:color w:val="000000"/>
          <w:sz w:val="20"/>
        </w:rPr>
        <w:t xml:space="preserve"> </w:t>
      </w:r>
      <w:r>
        <w:rPr>
          <w:rFonts w:ascii="Times New Roman" w:hAnsi="Times New Roman"/>
          <w:color w:val="000000"/>
          <w:sz w:val="24"/>
        </w:rPr>
        <w:t>(“Employee”). The term “Party” or “Parties” as used herein shall refer to Employer, Employee, or both, as may be appropriate.</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00"/>
        <w:jc w:val="both"/>
        <w:rPr/>
      </w:pPr>
      <w:r>
        <w:rPr>
          <w:rFonts w:ascii="Times New Roman" w:hAnsi="Times New Roman"/>
          <w:b/>
          <w:color w:val="000000"/>
          <w:sz w:val="24"/>
          <w:u w:val="single"/>
        </w:rPr>
        <w:t>Last Day of Employment</w:t>
      </w:r>
      <w:r>
        <w:rPr>
          <w:rFonts w:ascii="Times New Roman" w:hAnsi="Times New Roman"/>
          <w:color w:val="000000"/>
          <w:sz w:val="24"/>
        </w:rPr>
        <w:t>. Unless Employee decides to extend Employee’s employment through the Extended Separation Date (as defined below), Employee’s last day of employment with Employer is February 21, 2025 (the “Separation Date”). Regardless of whether Employee signs this Agreement, Employee will receive Employee’s regular pay and benefits through the Separation Date, as well as any accrued, but unused vacation time and shall be reimbursed for any incurred expenses that have been properly submitted and approved in accordance with Employer’s policies, including any relocation expenses properly submitted in accordance with and pursuant to the relocation repayment agreement, executed by Employee on October 16, 2023. To accept this Agreement, Employee must sign and return the Agreement no later than 8:00 AM EST on February 24, 2025. This Agreement shall be effective and binding on all parties upon Employer’s receipt of the executed Agreement (the “Effective Date”).</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00"/>
        <w:jc w:val="both"/>
        <w:rPr/>
      </w:pPr>
      <w:r>
        <w:rPr>
          <w:rFonts w:ascii="Times New Roman" w:hAnsi="Times New Roman"/>
          <w:b/>
          <w:color w:val="000000"/>
          <w:sz w:val="24"/>
          <w:u w:val="single"/>
        </w:rPr>
        <w:t>Consideration</w:t>
      </w:r>
      <w:r>
        <w:rPr>
          <w:rFonts w:ascii="Times New Roman" w:hAnsi="Times New Roman"/>
          <w:color w:val="000000"/>
          <w:sz w:val="24"/>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color w:val="000000"/>
          <w:sz w:val="24"/>
        </w:rPr>
        <w:t xml:space="preserve">In consideration for Employee timely signing this Agreement, and in compliance with the promises made herein, Employer agrees to provide Employee the following payments and benefits (the “Severance Benefits”), as long as Employee remains employed and complies with all Employer rules and policies through the Extended Separation Date (as defined below). In addition, in order to be eligible for the payments and benefits set forth in Sections 2(c) through 2(d) below, Employee must timely sign and return </w:t>
      </w: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no earlier than the Extended Separation Date. For the avoidance of doubt, Employee will not be entitled to any payments or benefits set forth below if Employee materially breaches the terms of this Agreement (provided, however, that prior to any such termination, Employer shall provide Employee with notice of such breach and, if curable, allow Employee at least three (3) days to cure such breach).</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Employer will extend Employee’s Separation Date to March 7, 2025 (the “Extended Separation Date”). Prior to the Extended Separation Date, Employee will continue to receive Employee’s regular pay, less lawful deductions (the “Transition Period,” defined further below). Additionally, Employee shall receive Employee’s 2024 bonus in the amount of One Hundred Eighty-Five Thousand Five Hundred Dollars ($185,500) to be paid on February 28, 2025, conditioned upon Employee’s continued employment through such date, and 5,724 shares of Employer’s class A common stock shall be issued on March 4, 2025 upon the vesting and settlement of restricted stock units granted to Employee under Employer’s Omnibus Incentive Compensation Plan, conditioned upon Employee’s continued employment on such date and consistent with the terms and conditions of Employer’s Omnibus Incentive Compensation Plan. In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pPr>
      <w:r>
        <w:rPr>
          <w:rFonts w:ascii="Times New Roman" w:hAnsi="Times New Roman"/>
          <w:color w:val="000000"/>
          <w:sz w:val="24"/>
        </w:rPr>
        <w:t xml:space="preserve">the event that Employee obtains new employment prior to the Extended Separation Date, and Employee signs and returns </w:t>
      </w:r>
      <w:r>
        <w:rPr>
          <w:rFonts w:ascii="Times New Roman" w:hAnsi="Times New Roman"/>
          <w:b/>
          <w:color w:val="000000"/>
          <w:sz w:val="24"/>
          <w:u w:val="single"/>
        </w:rPr>
        <w:t>Exhibit A</w:t>
      </w:r>
      <w:r>
        <w:rPr>
          <w:rFonts w:ascii="Times New Roman" w:hAnsi="Times New Roman"/>
          <w:color w:val="000000"/>
          <w:sz w:val="24"/>
        </w:rPr>
        <w:t xml:space="preserve">, Employer will pay Employee the balance of any Severance Benefits. The payment will be made within sixty (60) days of the Extended Separation Date, in accordance with Employer’s payroll practice, and subject to Employer’s receipt of the executed </w:t>
      </w:r>
      <w:r>
        <w:rPr>
          <w:rFonts w:ascii="Times New Roman" w:hAnsi="Times New Roman"/>
          <w:b/>
          <w:color w:val="000000"/>
          <w:sz w:val="24"/>
          <w:u w:val="single"/>
        </w:rPr>
        <w:t>Exhibit A</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rFonts w:ascii="Times New Roman" w:hAnsi="Times New Roman"/>
          <w:color w:val="000000"/>
          <w:sz w:val="24"/>
        </w:rPr>
        <w:t xml:space="preserve">Employer will pay to Employee the gross amount of Two Hundred Ninety Two Thousand Five Hundred and 00/100 Dollars ($292,500.00), less lawful deductions, representing nine (9) months of pay. This payment will be made in one lump sum payment. The payment will be made within sixty (60) days of the Extended Separation Date, in accordance with Employer’s payroll practices, and subject to Employer’s receipt of the executed </w:t>
      </w:r>
      <w:r>
        <w:rPr>
          <w:rFonts w:ascii="Times New Roman" w:hAnsi="Times New Roman"/>
          <w:b/>
          <w:color w:val="000000"/>
          <w:sz w:val="24"/>
          <w:u w:val="single"/>
        </w:rPr>
        <w:t>Exhibit A</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Subject to Employee’s completion of the appropriate forms, and subject to all the requirements of the Consolidated Omnibus Budget Reconciliation Act of 1985, as amended (“COBRA”), through December 31, 2025 (the Extended Separation Date through this date is the “COBRA Subsidy Period”), Employer will pay the employer portion of premiums for Employee’s participation in Employer’s medical and dental insurance plans (at the same level of coverage for Employee in effect immediately prior to the Extended Separation Date) through COBRA to the same extent that such insurance is provided to persons currently employed by Employer. Employer will make these payments to the COBRA administrator each month during the COBRA Subsidy Period while Employee remains eligible if Employee does not become eligible for other benefits through new employment, and Employee will be required to pay the employee portion of premiums plus a 2% administrative fee, also directly to Employer’s COBRA administrator. If Employee obtains employment that provides medical and/or dental insurance, Employee agrees to notify Employer, and Employer will no longer be obligated to provide payment for the benefit continuation hereunder. Employee also has the right to continue insurance coverage after this period, subject to the requirements of COBRA, at Employee’s own cost. Employer payments of Employee’s COBRA premiums are subject to all the terms and conditions set forth in the Employer’s group health plan intended to avoid any excise tax under Section 4980D of the Internal Revenue Code of 1986, as amended (the “Code”). If the Employer, in its sole discretion, determines the payments of any COBRA premiums would violate the nondiscrimination rules or cause the reimbursement of claims to be taxable under the Patient Protection and Affordable Care Act of 2010, together with the Health Care and Education Reconciliation Act of 2010 (collectively, the “Act”) or Section 105(h) of the Code, the premium payments will be imputed as income and treated as taxable to the Employee to the extent necessary to eliminate any discriminatory treatment or taxation under the Act or Section 105(h) of the Code. Nonetheless, if Employee becomes employed by another employer and is eligible for coverage under the group benefits plan of the new employer, Employer will no longer pay premiums for COBRA continuation as of the date of eligibility. Employee agrees to immediately notify Employer in writing of such new employment so that Employer receives such notification prior to the commencement of this employment. Such notice shall be delivered to Sanam Feldman, Vice President of Human Resources at [email].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60" w:after="20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160" w:after="200"/>
        <w:jc w:val="both"/>
        <w:rPr/>
      </w:pPr>
      <w:r>
        <w:rPr>
          <w:rFonts w:ascii="Times New Roman" w:hAnsi="Times New Roman"/>
          <w:b/>
          <w:color w:val="000000"/>
          <w:sz w:val="24"/>
          <w:u w:val="single"/>
        </w:rPr>
        <w:t>No Consideration Absent Execution of this Agreement</w:t>
      </w:r>
      <w:r>
        <w:rPr>
          <w:rFonts w:ascii="Times New Roman" w:hAnsi="Times New Roman"/>
          <w:color w:val="000000"/>
          <w:sz w:val="24"/>
        </w:rPr>
        <w:t xml:space="preserve">. Employee understands and agrees that Employee would not receive the monies and/or benefits specified in Section 2 above, except for Employee’s fulfillment of the promises contained herein and in </w:t>
      </w:r>
      <w:r>
        <w:rPr>
          <w:rFonts w:ascii="Times New Roman" w:hAnsi="Times New Roman"/>
          <w:b/>
          <w:color w:val="000000"/>
          <w:sz w:val="24"/>
          <w:u w:val="single"/>
        </w:rPr>
        <w:t>Exhibit A</w:t>
      </w:r>
      <w:r>
        <w:rPr>
          <w:rFonts w:ascii="Times New Roman" w:hAnsi="Times New Roman"/>
          <w:color w:val="000000"/>
          <w:sz w:val="24"/>
        </w:rPr>
        <w:t xml:space="preserve">. Should Employee breach any provision of this Agreement, Employee shall not be entitled to any additional monies and/or benefits specified in Section 2 above, however Employee’s release of claims shall remain in effect. </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00"/>
        <w:jc w:val="both"/>
        <w:rPr/>
      </w:pPr>
      <w:r>
        <w:rPr>
          <w:rFonts w:ascii="Times New Roman" w:hAnsi="Times New Roman"/>
          <w:b/>
          <w:color w:val="000000"/>
          <w:sz w:val="24"/>
          <w:u w:val="single"/>
        </w:rPr>
        <w:t>Transition Period</w:t>
      </w:r>
      <w:r>
        <w:rPr>
          <w:rFonts w:ascii="Times New Roman" w:hAnsi="Times New Roman"/>
          <w:color w:val="000000"/>
          <w:sz w:val="24"/>
        </w:rPr>
        <w:t xml:space="preserve">. If this Agreement becomes effective as provided in Section 1, then effective as of the day Employee signs this Agreement (the “Transition Period Start Date”) Employee will be employed in a transition role. During the Transition Period, Employee agrees to (a) assist Employer in the transition of work in connection with any of the duties Employee has performed for Employer, (b) perform any other specific project(s) assigned to Employee by Employer, (c) act professionally, constructively, and consistent with the best interests of Employer, (d) comply with all Employer written policies and procedures and with all lawful directives of Employer; and (e) comply with the terms of this Agreement. All duties in this Section 4 shall be collectively referred to herein as “Transition Duties.” During the Transition Period, Employee shall continue: (i) to receive Employee’s regular pay, less lawful deductions; and (ii) to participate in Employer’s employee benefits programs and employee insurance benefits programs, but only to the extent that Employee currently participates in such programs and remain eligible under any applicable plan document(s). Employee specifically acknowledges that the notice of termination and offer of continuation of Employee’s employment during the Transition Period is being provided as part of the separation of Employee’s employment and is in consideration of Employee’s covenants set forth herein, including the release of claims set forth in Section 5. Employee acknowledges that after the Extended Separation Date Employee shall have no authority to represent Employee as an employee or agent of Employer. </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00"/>
        <w:jc w:val="both"/>
        <w:rPr/>
      </w:pPr>
      <w:r>
        <w:rPr>
          <w:rFonts w:ascii="Times New Roman" w:hAnsi="Times New Roman"/>
          <w:b/>
          <w:color w:val="000000"/>
          <w:sz w:val="24"/>
          <w:u w:val="single"/>
        </w:rPr>
        <w:t>General Release, Claims Not Released and Related Provisions</w:t>
      </w:r>
      <w:r>
        <w:rPr>
          <w:rFonts w:ascii="Times New Roman" w:hAnsi="Times New Roman"/>
          <w:color w:val="000000"/>
          <w:sz w:val="24"/>
        </w:rPr>
        <w:t>.</w:t>
      </w:r>
      <w:r>
        <w:rPr>
          <w:color w:val="00000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pPr>
      <w:r>
        <w:rPr>
          <w:rFonts w:ascii="Times New Roman" w:hAnsi="Times New Roman"/>
          <w:b/>
          <w:color w:val="000000"/>
          <w:sz w:val="24"/>
          <w:u w:val="single"/>
        </w:rPr>
        <w:t>General Release of All Claims</w:t>
      </w:r>
      <w:r>
        <w:rPr>
          <w:rFonts w:ascii="Times New Roman" w:hAnsi="Times New Roman"/>
          <w:color w:val="000000"/>
          <w:sz w:val="24"/>
        </w:rPr>
        <w:t>. Employee, on Employee’s own behalf and on behalf of Employee’s heirs, executors, administrators, successors, and assigns knowingly and voluntarily releases and forever discharges Employer, its direct and indirect parent corporations, affiliates, subsidiaries, divisions, predecessors, insurers, reinsurers, representatives, successors, and assigns, and their current and former employees, attorneys, partners, officers, directors and agents thereof, both individually and in their business capacities, and their employee benefit plans and programs and their administrators and fiduciaries, both individually and in their business capacities (collectively referred to throughout the remainder of this Agreement as “Releasees”), of and from any and all claims, known and unknown, asserted or unasserted, which the Employee has or may have against Releasees as of the date of execution of this Agreement, including, but not limited to, any alleged violation of the following,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Executive Order 11141;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Title VII of the Civil Rights Act of 1964;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Sections 1981 through 1988 of Title 42 of the United States Code;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Employee Retirement Income Security Act of 1974;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Internal Revenue Code of 1986, as amended;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The Immigration Reform and Control Act;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Americans with Disabilities Act of 1990;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Worker Adjustment and Retraining Notification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Fair Credit Reporting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Family and Medical Leave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Equal Pay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Genetic Information Nondiscrimination Act of 2008;</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Uniformed Services Employment and Reemployment Rights Act of 1994;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Families First Coronavirus Response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Pregnant Worker’s Fairness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Executive Order 11246;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Rehabilitation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Vietnam Era Veterans’ Readjustment Assistance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Law Against Discrimination, G.L. c. 151B,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Equal Rights Act, G.L. c. 93,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Civil Rights Act, G.L. c. 12,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Privacy Statute, G.L. c. 214, § 1B,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Sexual Harassment Statute, G.L. c. 214, § 1C;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Wage Payment Statute, G.L. c. 149, §§ 148, 148A, 148B, 148C, 149, 150, 150A-150C, 151, 152, 152A, et seq.;</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Wage and Hour laws, G.L. c. 151§1A et seq.;</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Massachusetts Fair Employment Practices Act., G.L. c. 151B;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Workers’ Compensation Act, G.L. c. 152, § 75B;</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Small Necessities Act, G.L. c. 149, § 52D;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Equal Pay Act, G.L. c. 149, § 105A-C;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Equal Rights for the Elderly and Disabled, G.L. c. 93, § 103;</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AIDS Testing statute, G.L. c. 111, §70F;</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Consumer Protection Act, G.L. c. 93A;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Massachusetts Employment Leave for Victims and Family Members of Abuse, G.L. c. 149, §52E,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Earned Sick Time Law, M.G.L. c. 149, § 148C;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Paid Family and Medical Leave Act, M.G.L. c.175M et seq.;</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Massachusetts Parental Leave Act, G.L. c. 149, § 105D;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Massachusetts Age Discrimination Law, G.L. c. 149 §24 A et seq.;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State Executive Law (including its Human Rights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Equal Pay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Non-Discrimination for Legal Activities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Whistleblower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Workers’ Compensation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wage and hour and wage payment laws and regulations;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Paid Sick Leave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False Claims Act;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The New York Criminal and Consumer Background Laws, N.Y. Gen. Bus. Law Sec. 380-B et seq.;</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Non-Discrimination and Anti-Retaliation Provisions of the New York Workers’ Compensation Law and the New York Disabilities Law;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New York Labor Law;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New York State Worker Adjustment and Retraining Notification Act;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New York Occupational Safety and Health Laws;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Fair Credit Reporting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Constitution;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City Administrative Code and Charter (including its Human Rights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City Earned Sick Time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City Temporary Schedule Change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City Human Rights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New York City Civil Rights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Any other claims under any local, state, or federal common law theory, including but not limited to any claim for wrongful discharge, unjust enrichment, breach of a covenant of good faith and fair dealing, violation of public policy, defamation, interference with contractual relations, intentional or negligent infliction of emotion distress, invasion of privacy, misrepresentation, deceit, fraud or negligence, breach of contract, implied contract, promissory estoppel, quantum meruit, any claim to attorney’s fees under any applicable statute or common law theory of recovery, or any claim sounding in tort;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Any other federal, state, or local law, rule, regulation, or ordinance;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Any other public policy, contract, tort, or common law;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Any other claim for costs, fees, or other expenses including attorneys’ fees incurred in these matters.</w:t>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24"/>
        </w:rPr>
        <w:t>Employee specifically acknowledges that, upon Employee’s execution of this Agreement, Employee has been properly paid for all time worked and is unaware of any facts that would support a claim by Employee against any of the Releasees for any claim of unpaid wages or overtime or any other violation of the Fair Labor Standards Act and/or applicable state or local wage and hour laws.</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pPr>
      <w:r>
        <w:rPr>
          <w:rFonts w:ascii="Times New Roman" w:hAnsi="Times New Roman"/>
          <w:b/>
          <w:color w:val="000000"/>
          <w:sz w:val="24"/>
          <w:u w:val="single"/>
        </w:rPr>
        <w:t>Claims Not Released</w:t>
      </w:r>
      <w:r>
        <w:rPr>
          <w:rFonts w:ascii="Times New Roman" w:hAnsi="Times New Roman"/>
          <w:color w:val="000000"/>
          <w:sz w:val="24"/>
        </w:rPr>
        <w:t xml:space="preserve">. Employee is not waiving any rights Employee may have to: (i) </w:t>
      </w:r>
      <w:r>
        <w:rPr>
          <w:rFonts w:ascii="Times New Roman" w:hAnsi="Times New Roman"/>
          <w:color w:val="1A1A1A"/>
          <w:sz w:val="24"/>
        </w:rPr>
        <w:t xml:space="preserve">indemnification, contribution, advancement or defense as provided by, and in accordance with the terms of the Company by-laws, certificate of incorporation, liability insurance coverage, or applicable law; (ii) </w:t>
      </w:r>
      <w:r>
        <w:rPr>
          <w:rFonts w:ascii="Times New Roman" w:hAnsi="Times New Roman"/>
          <w:color w:val="000000"/>
          <w:sz w:val="24"/>
        </w:rPr>
        <w:t xml:space="preserve">Employee’s own vested or accrued employee benefits under Employer’s qualified retirement benefit plans as of the Extended Separation Date; (iii) benefits and/or the right to seek benefits under applicable workers’ compensation and/or unemployment compensation statutes; (iv) pursue claims which by law cannot be waived by signing this Agreement; and (v) enforce this Agreement.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rFonts w:ascii="Times New Roman" w:hAnsi="Times New Roman"/>
          <w:b/>
          <w:color w:val="000000"/>
          <w:sz w:val="24"/>
          <w:u w:val="single"/>
        </w:rPr>
        <w:t>Governmental Agencies</w:t>
      </w:r>
      <w:r>
        <w:rPr>
          <w:rFonts w:ascii="Times New Roman" w:hAnsi="Times New Roman"/>
          <w:color w:val="000000"/>
          <w:sz w:val="24"/>
        </w:rPr>
        <w:t xml:space="preserve">. Nothing in this Agreement, or any other agreement between Employee and Employer, restricts or prohibits Employee from initiating communications directly with, responding to any inquiries from, providing testimony before or information to, reporting possible violations of law or regulation (including any good faith allegation of unlawful employment practices or criminal conduct), filing a claim or assisting with an investigation directly with law enforcement, a self-regulatory authority, a government agency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or entity, including the U.S. Equal Employment Opportunity Commission, the Department of Labor, the National Labor Relations Board, the Department of Justice, the Securities and Exchange Commission, Congress, and any agency Inspector General, or any appropriate federal, state, or local official (collectively, the “Regulators”), or from making other disclosures that are protected under the whistleblower provisions of state or federal law or regulation (“Communications with Government Authorities”). This Agreement does not limit Employee’s right to receive an award from any Regulator that provides awards for providing information relating to a potential violation of law. Employee does not need the prior authorization of Employer to engage in conduct protected by this Section and does not need to notify Employer that Employee has engaged in such conduct. Nothing in this Agreement restricts or prohibits Employee from making truthful statements or disclosures required by law, regulation, or legal process; or Employee’s ability to request or receive confidential legal advice.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pPr>
      <w:r>
        <w:rPr>
          <w:rFonts w:ascii="Times New Roman" w:hAnsi="Times New Roman"/>
          <w:b/>
          <w:color w:val="000000"/>
          <w:sz w:val="24"/>
          <w:u w:val="single"/>
        </w:rPr>
        <w:t>Collective/Class Action Waiver</w:t>
      </w:r>
      <w:r>
        <w:rPr>
          <w:rFonts w:ascii="Times New Roman" w:hAnsi="Times New Roman"/>
          <w:color w:val="000000"/>
          <w:sz w:val="24"/>
        </w:rPr>
        <w:t>. If any claim is not subject to release, to the extent permitted by law, Employee waives any right or ability to be a class or collective action representative or to otherwise participate in any putative or certified class, collective or multi-party action</w:t>
      </w:r>
      <w:r>
        <w:rPr>
          <w:color w:val="1F497D"/>
        </w:rPr>
        <w:t xml:space="preserve"> </w:t>
      </w:r>
      <w:r>
        <w:rPr>
          <w:rFonts w:ascii="Times New Roman" w:hAnsi="Times New Roman"/>
          <w:color w:val="000000"/>
          <w:sz w:val="24"/>
        </w:rPr>
        <w:t>or proceeding based on such a claim in which Employer or any other Releasee identified in this Agreement is a party.</w:t>
      </w:r>
      <w:r>
        <w:rPr>
          <w:color w:val="FF0000"/>
        </w:rPr>
        <w:t xml:space="preserve"> </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00"/>
        <w:jc w:val="both"/>
        <w:rPr/>
      </w:pPr>
      <w:r>
        <w:rPr>
          <w:rFonts w:ascii="Times New Roman" w:hAnsi="Times New Roman"/>
          <w:b/>
          <w:color w:val="000000"/>
          <w:sz w:val="24"/>
          <w:u w:val="single"/>
        </w:rPr>
        <w:t>Confidentiality</w:t>
      </w:r>
      <w:r>
        <w:rPr>
          <w:rFonts w:ascii="Times New Roman" w:hAnsi="Times New Roman"/>
          <w:color w:val="000000"/>
          <w:sz w:val="24"/>
        </w:rPr>
        <w:t>. Subject to the Communications with Government Authorities and Paragraph 5(c), Employee agrees not to disclose any information regarding the substance or terms of this Agreement, except to Employee’s immediate family, tax advisor, an attorney with whom Employee chooses to consult regarding Employee’s consideration of this Agreement, and/or to any federal, state, or local government agency. This provision shall not be construed to limit Employee’s rights under the National Labor Relations Act including, but not limited to, the right to engage in protected concerted activity, including discussing terms and conditions of employment with coworkers, and attempting to improve terms and conditions of employment through channels outside the immediate employee-employer relationship, such as through the National Labor Relations Board. This provision does not restrain Employee from disclosure of the underlying facts of any alleged discriminatory or unfair employment practice, including the existence and terms of the Agreement, to any local, state, or federal government agency for any reason. If either Party makes a material misrepresentation about the other Party, the Party making the material misrepresentation may not enforce any nondisclosure provision against the other Party, but all remaining terms of the Agreement remain enforceable.</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00"/>
        <w:jc w:val="both"/>
        <w:rPr/>
      </w:pPr>
      <w:r>
        <w:rPr>
          <w:rFonts w:ascii="Times New Roman" w:hAnsi="Times New Roman"/>
          <w:b/>
          <w:color w:val="000000"/>
          <w:sz w:val="24"/>
          <w:u w:val="single"/>
        </w:rPr>
        <w:t>Acknowledgments and Affirmations</w:t>
      </w:r>
      <w:r>
        <w:rPr>
          <w:rFonts w:ascii="Times New Roman" w:hAnsi="Times New Roman"/>
          <w:color w:val="000000"/>
          <w:sz w:val="24"/>
        </w:rPr>
        <w:t>.</w:t>
      </w:r>
      <w:r>
        <w:rPr>
          <w:color w:val="00000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Subject to the Communications with Government Authorities and Paragraph 5(c), Employee affirms that Employee has not filed, caused to be filed, or presently is a party to any claim against Employer. Nothing in this Agreement or these Affirmations is intended to impair Employee’s rights under whistleblower laws or cause Employee to disclose Employee’s participation in any governmental whistleblower program or any whistleblowing statute(s) or regulation(s) allowing for anonymity.</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Employee acknowledges that Employee remains obligated under, and agrees to comply with, the provisions of any agreement between Employee and Employer that protects the confidentiality of Employer’s non-public information and imposes certain restrictions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pPr>
      <w:r>
        <w:rPr>
          <w:rFonts w:ascii="Times New Roman" w:hAnsi="Times New Roman"/>
          <w:color w:val="000000"/>
          <w:sz w:val="24"/>
        </w:rPr>
        <w:t>and obligations on Employee after the Extended Separation Date, including on Employee’s ability to use or share confidential information or to solicit employees or customers of Employer, each of which is incorporated herein by reference.</w:t>
      </w:r>
      <w:r>
        <w:rPr>
          <w:color w:val="000000"/>
        </w:rPr>
        <w:t xml:space="preserv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00"/>
        <w:jc w:val="both"/>
        <w:rPr/>
      </w:pPr>
      <w:r>
        <w:rPr>
          <w:rFonts w:ascii="Times New Roman" w:hAnsi="Times New Roman"/>
          <w:color w:val="000000"/>
          <w:sz w:val="24"/>
        </w:rPr>
        <w:t xml:space="preserve">Employee acknowledges and agrees that any obligation of Employer to make payments and provide benefits to Employee under Section 2 and </w:t>
      </w:r>
      <w:r>
        <w:rPr>
          <w:rFonts w:ascii="Times New Roman" w:hAnsi="Times New Roman"/>
          <w:b/>
          <w:color w:val="000000"/>
          <w:sz w:val="24"/>
          <w:u w:val="single"/>
        </w:rPr>
        <w:t>Exhibit A</w:t>
      </w:r>
      <w:r>
        <w:rPr>
          <w:rFonts w:ascii="Times New Roman" w:hAnsi="Times New Roman"/>
          <w:color w:val="000000"/>
          <w:sz w:val="24"/>
        </w:rPr>
        <w:t xml:space="preserve">, and Employee’s right to retain those payments and benefits, are expressly conditioned upon Employee’s continued full performance of Employee’s obligations under this Agreement and </w:t>
      </w:r>
      <w:r>
        <w:rPr>
          <w:rFonts w:ascii="Times New Roman" w:hAnsi="Times New Roman"/>
          <w:b/>
          <w:color w:val="000000"/>
          <w:sz w:val="24"/>
          <w:u w:val="single"/>
        </w:rPr>
        <w:t>Exhibit A</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00"/>
        <w:jc w:val="both"/>
        <w:rPr/>
      </w:pPr>
      <w:r>
        <w:rPr>
          <w:rFonts w:ascii="Times New Roman" w:hAnsi="Times New Roman"/>
          <w:color w:val="000000"/>
          <w:sz w:val="24"/>
        </w:rPr>
        <w:t>Employee also affirms that Employee has reported all hours worked (as applicable) and been paid and/or has received all compensation, wages, bonuses, commissions, paid sick leave, predictability pay, and/or benefits which are due and payable as of the date Employee signs this Agreement.</w:t>
      </w:r>
      <w:r>
        <w:rPr>
          <w:color w:val="000000"/>
        </w:rPr>
        <w:t xml:space="preserve"> </w:t>
      </w:r>
      <w:r>
        <w:rPr>
          <w:rFonts w:ascii="Times New Roman" w:hAnsi="Times New Roman"/>
          <w:color w:val="000000"/>
          <w:sz w:val="24"/>
        </w:rPr>
        <w:t>Employee also affirms Employee has been reimbursed for all necessary expenses or losses in following Employer’s directions or incurred by Employee within the scope of Employee’s employment. Employee affirms that Employee has been granted any leave to which Employee was entitled under the Family and Medical Leave Act and state and local leave and disability accommodation laws.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Employee further affirms that Employee has no known workplace injuries or occupational diseases.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Subject to the Communications with Government Authorities and Paragraph 5(c), Employee also affirms that Employee has not divulged any proprietary or confidential information of Employer and will continue to maintain the confidentiality of such information consistent with Employer’s policies and Employee’s agreement(s) with Employer and/or common law. Under the federal Defend Trade Secrets Act of 2016, Employee shall not be held criminally or civilly liable under any federal or state trade secret law for the disclosure of a trade secret that: (i) is made (1) in confidence to a federal, state, or local government official, either directly or indirectly, or to an attorney; and (2) solely for the purpose of reporting or investigating a suspected violation of law; (ii) is made to Employee’s attorney in relation to a lawsuit against Employer for retaliation against Employee for reporting a suspected violation of law; or (iii) is made in a complaint or other document filed in a lawsuit or other proceeding, if such filing is made under seal.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Employee further affirms that Employee has not reported internally to Employer any allegations of wrongdoing by Employer or its officers, including any allegations of corporate fraud, and Employee has not been retaliated against for reporting any such allegations internally to Employer.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Employee and Employer acknowledge Employee’s rights to make truthful statements or disclosures required by law, regulation, or legal process and to request or receive confidential legal advice, and nothing in this Agreement shall be deemed to impair those rights.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Employee acknowledges that – to the extent set forth in the General Release of All Claims section above– this Agreement contains a release of any and all claims Employee may have under the Massachusetts Wage Act or any other state or local law and that this Agreement is intended to resolve any and all disputes related to wages, commissions, bonuses, or other compensation.</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 xml:space="preserve">If Employee has received a grant of equity from Employer, Employee’s rights under such awards shall be governed by the terms of the applicable equity plans and the award agreements evidencing those grants entered into between Employee and Employer. Employee further acknowledges and agrees that from and after the Extended Separation Date, all vesting of any equity grant under any equity plan (of whatever name or kind, including, without limitation, any stock option plan or plan relating to restricted stock units) that Employee participated in or was eligible to participate in during Employee’s employment with Employer will terminate.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Subject to the Communications with Government Authorities and Paragraph 5(c), Employee specifically covenants not to file any claim or suit against Releasees, and this covenant is a material term of this Agreement. Employee’s only claim against Releasees, after the date of this Agreement, shall be for breach of this Agreement and any such claim shall be limited to the monetary consideration paid under this Agreement.</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00"/>
        <w:jc w:val="both"/>
        <w:rPr/>
      </w:pPr>
      <w:r>
        <w:rPr>
          <w:rFonts w:ascii="Times New Roman" w:hAnsi="Times New Roman"/>
          <w:b/>
          <w:color w:val="000000"/>
          <w:sz w:val="24"/>
          <w:u w:val="single"/>
        </w:rPr>
        <w:t>Section 409A</w:t>
      </w:r>
      <w:r>
        <w:rPr>
          <w:rFonts w:ascii="Times New Roman" w:hAnsi="Times New Roman"/>
          <w:b/>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(a) Although Employer does not guarantee the tax treatment of any payments or benefits under this Agreement, it is intended that the payments and benefits under this Agreement be exempt from or, to the extent not exempt, comply with, Section 409A of the Code and the regulations and guidance promulgated thereunder (collectively “Section 409A”), and, accordingly, to the maximum extent possible, this Agreement will be interpreted and construed consistent with such intent. Notwithstanding the foregoing, Employer does not guarantee any particular tax result, and in no event whatsoever will Employer, its affiliates, or their respective officers, directors, employees, counsel, or other service providers, be liable for any tax, interest, or penalty that may be imposed on Employee by Section 409A or damages for failing to comply with Section 409A.</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(b) For purposes of Section 409A, whenever a payment hereunder specifies a payment period with reference to a number of days, the actual date of payment within the specified period shall be within the sole discretion of Employer.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(c) To the extent that reimbursements or other in-kind benefits hereunder constitute “deferred compensation” subject to Section 409A, (i) all expenses or other reimbursements hereunder will be made on or prior to the last day of the taxable year following the taxable year in which such expenses were incurred by Employee, (ii) any right to reimbursement or in-kind benefits will not be subject to liquidation or exchange for another benefit, and (iii) no such reimbursement, expenses eligible for reimbursement, or in-kind benefits provided in any taxable year will in any way affect the expenses eligible for reimbursement, or in-kind benefits to be provided, in any other taxable year.</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(d) Any other provision of this Agreement to the contrary notwithstanding, in no event will any payment or benefit hereunder that constitutes “deferred compensation” subject to Section 409A be subject to offset by any other amount unless otherwise permitted by Section 409A.</w:t>
      </w:r>
    </w:p>
    <w:p>
      <w:pPr>
        <w:pStyle w:val="TextBody"/>
        <w:bidi w:val="0"/>
        <w:spacing w:before="0" w:after="200"/>
        <w:jc w:val="both"/>
        <w:rPr>
          <w:rFonts w:ascii="Times New Roman" w:hAnsi="Times New Roman"/>
          <w:sz w:val="20"/>
        </w:rPr>
      </w:pPr>
      <w:r>
        <w:rPr>
          <w:rFonts w:ascii="Times New Roman" w:hAnsi="Times New Roman"/>
          <w:color w:val="000000"/>
          <w:sz w:val="24"/>
        </w:rPr>
        <w:t>(e) A termination of employment will not be deemed to have occurred for purposes of any provision of this Agreement providing for the payment of any amounts or benefits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that constitute “deferred compensation” subject to Section 409A upon or following a termination of employment, unless such termination is also a “separation from service” within the meaning of Section 409A, and, for purposes of any such provision, all references in this Agreement to Employee’s “termination”, “termination of employment”, or like terms will mean Employee’s “separation from service” with Employer, and the date of such separation from service will be the date of termination for purposes of any such payment or benefit.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 Notwithstanding any other provision of this Agreement to the contrary, if, at the time of Employee’s separation from service, Employee is a “specified employee” within the meaning and in accordance with Treasury Regulation Section 1.409A-1(i), then Employer will defer the payment or commencement of any “deferred compensation” subject to Section 409A that is payable upon separation from service (without any reduction in such payments or benefits ultimately paid or provided to Employee) until the date that is six (6) months following separation from service or, if earlier, the earliest other date as is permitted under Section 409A (and any amounts that otherwise would have been paid during this deferral period will be paid in a lump sum on the day after the expiration of the six (6) month period or such shorter period, if applicable). Employer will determine in its sole discretion all matters relating to who is a “specified employee” and the application of and effects of the change in such determination.</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00"/>
        <w:jc w:val="both"/>
        <w:rPr/>
      </w:pPr>
      <w:r>
        <w:rPr>
          <w:rFonts w:ascii="Times New Roman" w:hAnsi="Times New Roman"/>
          <w:b/>
          <w:color w:val="000000"/>
          <w:sz w:val="24"/>
          <w:u w:val="single"/>
        </w:rPr>
        <w:t>Return of Property</w:t>
      </w:r>
      <w:r>
        <w:rPr>
          <w:rFonts w:ascii="Times New Roman" w:hAnsi="Times New Roman"/>
          <w:color w:val="000000"/>
          <w:sz w:val="24"/>
        </w:rPr>
        <w:t>. Except as provided otherwise in this Agreement or by law, Employee affirms and acknowledges their obligation to return, without copying or reproducing, all Employer property, documents, and/or confidential information in their possession or control. If Employee was in the office at the time of the notice of separation, Employee affirms that: (a) all Employer property was returned directly to Employer before leaving the premises; and (b) Employee is in possession of all personal property belonging to them, and no personal property was left on Employer’s premises, including, but not limited to, personal information stored on their Employer-issued laptop or other electronic devices (e.g., original personal family photos). If Employee was remote at the time of the notice of separation, Employer will provide a prepaid mailing box for the return of Employer property. Employee agrees to ship all Employer property using the provided box within five (5) business days of receipt. Additionally, Employee acknowledges their obligation to contact Sanam Feldman at [email] within twenty (20) business days of the Effective Date of this Agreement (or sooner) if they believe personal information is stored on their returned Employer-issued laptop, other electronic devices, or left on Employer’s premises that they would like returned (e.g., original personal family photos). Employer will make best efforts to review and return any identified personal property or information while maintaining the integrity of Employer policies and data security.</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00"/>
        <w:jc w:val="both"/>
        <w:rPr/>
      </w:pPr>
      <w:r>
        <w:rPr>
          <w:rFonts w:ascii="Times New Roman" w:hAnsi="Times New Roman"/>
          <w:b/>
          <w:color w:val="000000"/>
          <w:sz w:val="24"/>
          <w:u w:val="single"/>
        </w:rPr>
        <w:t>Non-Disparagement</w:t>
      </w:r>
      <w:r>
        <w:rPr>
          <w:rFonts w:ascii="Times New Roman" w:hAnsi="Times New Roman"/>
          <w:color w:val="000000"/>
          <w:sz w:val="24"/>
        </w:rPr>
        <w:t xml:space="preserve">. Employee agrees to refrain from making statements that are maliciously disparaging or defamatory about Releasees, or Releasees’ customers, suppliers, or vendors, including but not limited to communications on social media websites such as Facebook, X (formerly known as Twitter), LinkedIn, or Glassdoor on blogs, by text or email, or other electronic means. This provision does not prohibit Employee from making truthful statements about the terms or conditions of Employee’s employment, or from exercising Employee’s rights under the National Labor Relations Act, government whistleblower programs, or whistleblowing statutes or regulations. The Employer agrees that it will instruct in writing the current members of its Board of Directors and those individuals set forth on </w:t>
      </w:r>
      <w:r>
        <w:rPr>
          <w:rFonts w:ascii="Times New Roman" w:hAnsi="Times New Roman"/>
          <w:b/>
          <w:color w:val="000000"/>
          <w:sz w:val="24"/>
          <w:u w:val="single"/>
        </w:rPr>
        <w:t>Exhibit B</w:t>
      </w:r>
      <w:r>
        <w:rPr>
          <w:color w:val="000000"/>
        </w:rPr>
        <w:t xml:space="preserve"> </w:t>
      </w:r>
      <w:r>
        <w:rPr>
          <w:rFonts w:ascii="Times New Roman" w:hAnsi="Times New Roman"/>
          <w:color w:val="000000"/>
          <w:sz w:val="24"/>
        </w:rPr>
        <w:t xml:space="preserve">that they are not to make any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both"/>
        <w:rPr/>
      </w:pPr>
      <w:r>
        <w:rPr>
          <w:rFonts w:ascii="Times New Roman" w:hAnsi="Times New Roman"/>
          <w:color w:val="000000"/>
          <w:sz w:val="24"/>
        </w:rPr>
        <w:t>statements that are maliciously disparaging or defamatory about Employee or her reputation, including but not limited to communications on social media websites such as Facebook, X (formerly known as Twitter), LinkedIn, or Glassdoor on blogs, by text or email, or other electronic means. Employee agrees that the Employer does not assume any responsibility for, and shall not be liable for, the unauthorized conduct of the aforementioned individuals once that instruction is given. If Employer receives any third-party inquiries regarding Employee’s employment with the Company, Employer shall respond by providing only Employee’s last position held and dates of employment and confirm that it is Employer’s policy to provide this information.</w:t>
      </w:r>
      <w:r>
        <w:rPr>
          <w:color w:val="000000"/>
        </w:rPr>
        <w:t xml:space="preserve"> </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00"/>
        <w:jc w:val="both"/>
        <w:rPr/>
      </w:pPr>
      <w:r>
        <w:rPr>
          <w:rFonts w:ascii="Times New Roman" w:hAnsi="Times New Roman"/>
          <w:b/>
          <w:color w:val="000000"/>
          <w:sz w:val="24"/>
          <w:u w:val="single"/>
        </w:rPr>
        <w:t>Governing Law and Interpretation</w:t>
      </w:r>
      <w:r>
        <w:rPr>
          <w:rFonts w:ascii="Times New Roman" w:hAnsi="Times New Roman"/>
          <w:color w:val="000000"/>
          <w:sz w:val="24"/>
        </w:rPr>
        <w:t xml:space="preserve">. This Agreement shall be governed and conformed in accordance with the laws of the state in which Employee worked as of the Extended Separation Date without regard to its conflict of laws provision. In the event of a breach of any provision of this Agreement, either Party may institute an action specifically to enforce any term or terms of this Agreement and/or to seek any damages for breach. Should any provision of this Agreement or </w:t>
      </w: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 xml:space="preserve">be declared illegal or unenforceable by any court of competent jurisdiction and cannot be modified to be enforceable, excluding the general release language, such provision shall immediately become null and void, leaving the remainder of this Agreement and/or </w:t>
      </w:r>
      <w:r>
        <w:rPr>
          <w:rFonts w:ascii="Times New Roman" w:hAnsi="Times New Roman"/>
          <w:b/>
          <w:color w:val="000000"/>
          <w:sz w:val="24"/>
          <w:u w:val="single"/>
        </w:rPr>
        <w:t>Exhibit A</w:t>
      </w:r>
      <w:r>
        <w:rPr>
          <w:color w:val="000000"/>
        </w:rPr>
        <w:t xml:space="preserve"> </w:t>
      </w:r>
      <w:r>
        <w:rPr>
          <w:rFonts w:ascii="Times New Roman" w:hAnsi="Times New Roman"/>
          <w:color w:val="000000"/>
          <w:sz w:val="24"/>
        </w:rPr>
        <w:t>in full force and effect.</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00"/>
        <w:jc w:val="both"/>
        <w:rPr/>
      </w:pPr>
      <w:r>
        <w:rPr>
          <w:rFonts w:ascii="Times New Roman" w:hAnsi="Times New Roman"/>
          <w:b/>
          <w:color w:val="000000"/>
          <w:sz w:val="24"/>
          <w:u w:val="single"/>
        </w:rPr>
        <w:t>Cooperation</w:t>
      </w:r>
      <w:r>
        <w:rPr>
          <w:rFonts w:ascii="Times New Roman" w:hAnsi="Times New Roman"/>
          <w:color w:val="000000"/>
          <w:sz w:val="24"/>
        </w:rPr>
        <w:t>.</w:t>
      </w:r>
      <w:r>
        <w:rPr>
          <w:color w:val="000000"/>
        </w:rPr>
        <w:t xml:space="preserve"> </w:t>
      </w:r>
      <w:r>
        <w:rPr>
          <w:rFonts w:ascii="Times New Roman" w:hAnsi="Times New Roman"/>
          <w:color w:val="000000"/>
          <w:sz w:val="24"/>
        </w:rPr>
        <w:t>Upon reasonable prior request (which shall take into consideration Employee’s personal and business commitments), Employee agrees to cooperate with Employer in connection with any present or future litigation, arbitration, mediation, or other legal or regulatory proceeding brought by or against Employer, to the extent Employer deems Employee’s cooperation necessary. This cooperation may include, but will not be limited to, meeting with Employer’s counsel and providing complete, truthful testimony if so requested. Employer will reimburse Employee for reasonable pre-approved out-of-pocket expenses incurred by Employee as a result of this cooperation. Nothing herein shall require Employee to provide anything other than truthful information.</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00"/>
        <w:jc w:val="both"/>
        <w:rPr/>
      </w:pPr>
      <w:r>
        <w:rPr>
          <w:rFonts w:ascii="Times New Roman" w:hAnsi="Times New Roman"/>
          <w:b/>
          <w:color w:val="000000"/>
          <w:sz w:val="24"/>
          <w:u w:val="single"/>
        </w:rPr>
        <w:t>Nonadmission of Wrongdoing</w:t>
      </w:r>
      <w:r>
        <w:rPr>
          <w:rFonts w:ascii="Times New Roman" w:hAnsi="Times New Roman"/>
          <w:color w:val="000000"/>
          <w:sz w:val="24"/>
        </w:rPr>
        <w:t>. The Parties agree that neither this Agreement nor the furnishing of the consideration for this Agreement shall be deemed or construed at any time for any purpose as an admission by Releasees of wrongdoing or evidence of any liability or unlawful conduct of any kind.</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00"/>
        <w:jc w:val="both"/>
        <w:rPr/>
      </w:pPr>
      <w:r>
        <w:rPr>
          <w:rFonts w:ascii="Times New Roman" w:hAnsi="Times New Roman"/>
          <w:b/>
          <w:color w:val="000000"/>
          <w:sz w:val="24"/>
          <w:u w:val="single"/>
        </w:rPr>
        <w:t>Amendment</w:t>
      </w:r>
      <w:r>
        <w:rPr>
          <w:rFonts w:ascii="Times New Roman" w:hAnsi="Times New Roman"/>
          <w:color w:val="000000"/>
          <w:sz w:val="24"/>
        </w:rPr>
        <w:t>. This Agreement may not be modified, altered, or changed except in writing and signed by both Parties wherein specific reference is made to this Agreement.</w:t>
      </w:r>
    </w:p>
    <w:p>
      <w:pPr>
        <w:pStyle w:val="TextBody"/>
        <w:bidi w:val="0"/>
        <w:spacing w:before="0" w:after="20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00"/>
        <w:jc w:val="both"/>
        <w:rPr/>
      </w:pPr>
      <w:r>
        <w:rPr>
          <w:rFonts w:ascii="Times New Roman" w:hAnsi="Times New Roman"/>
          <w:b/>
          <w:color w:val="000000"/>
          <w:sz w:val="24"/>
          <w:u w:val="single"/>
        </w:rPr>
        <w:t>Entire Agreement; Successors</w:t>
      </w:r>
      <w:r>
        <w:rPr>
          <w:rFonts w:ascii="Times New Roman" w:hAnsi="Times New Roman"/>
          <w:color w:val="000000"/>
          <w:sz w:val="24"/>
        </w:rPr>
        <w:t>. This Agreement sets forth the entire agreement between the Parties hereto, and fully supersedes any prior agreements or understandings between the Parties, except for any arbitration, intellectual property, noncompete, restrictive covenant, non-solicitation, non-disclosure, or confidentiality agreements between Employer and Employee, which shall remain in full force and effect according to their terms. Employee acknowledges that Employee has not relied on any representations, promises, or agreements of any kind made to Employee in connection with Employee’s decision to accept this Agreement, except for those set forth in this Agreement. This Agreement shall inure to the benefit of, and shall be binding upon, the Parties, their heirs, executors, administrators, agents, assigns, and estates.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60" w:after="20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160" w:after="200"/>
        <w:jc w:val="both"/>
        <w:rPr/>
      </w:pPr>
      <w:r>
        <w:rPr>
          <w:rFonts w:ascii="Times New Roman" w:hAnsi="Times New Roman"/>
          <w:b/>
          <w:color w:val="000000"/>
          <w:sz w:val="24"/>
          <w:u w:val="single"/>
        </w:rPr>
        <w:t>Counterparts and Signatures</w:t>
      </w:r>
      <w:r>
        <w:rPr>
          <w:rFonts w:ascii="Times New Roman" w:hAnsi="Times New Roman"/>
          <w:color w:val="000000"/>
          <w:sz w:val="24"/>
        </w:rPr>
        <w:t>. This Agreement may be signed in counterparts, each of which shall be deemed an original, but all of which, taken together shall constitute the same instrument. A signature made on a faxed or electronically mailed copy of the Agreement or a signature transmitted by facsimile or electronic mail will have the same effect as the original signature.</w:t>
      </w:r>
    </w:p>
    <w:p>
      <w:pPr>
        <w:pStyle w:val="TextBody"/>
        <w:bidi w:val="0"/>
        <w:spacing w:before="0" w:after="200"/>
        <w:jc w:val="both"/>
        <w:rPr>
          <w:rFonts w:ascii="Times New Roman" w:hAnsi="Times New Roman"/>
          <w:sz w:val="20"/>
        </w:rPr>
      </w:pPr>
      <w:r>
        <w:rPr>
          <w:rFonts w:ascii="Times New Roman" w:hAnsi="Times New Roman"/>
          <w:b/>
          <w:color w:val="000000"/>
          <w:sz w:val="24"/>
        </w:rPr>
        <w:t xml:space="preserve">EMPLOYEE IS ADVISED THAT EMPLOYEE HAS </w:t>
      </w:r>
      <w:r>
        <w:rPr>
          <w:rFonts w:ascii="Times New Roman" w:hAnsi="Times New Roman"/>
          <w:b/>
          <w:smallCaps/>
          <w:color w:val="000000"/>
          <w:sz w:val="24"/>
        </w:rPr>
        <w:t xml:space="preserve">UNTIL </w:t>
      </w:r>
      <w:r>
        <w:rPr>
          <w:rFonts w:ascii="Times New Roman" w:hAnsi="Times New Roman"/>
          <w:b/>
          <w:smallCaps/>
          <w:color w:val="000000"/>
          <w:sz w:val="24"/>
          <w:u w:val="single"/>
        </w:rPr>
        <w:t>8:00 AM EST ON FEBRUARY 24, 2025</w:t>
      </w:r>
      <w:r>
        <w:rPr>
          <w:rFonts w:ascii="Times New Roman" w:hAnsi="Times New Roman"/>
          <w:smallCaps/>
          <w:color w:val="000000"/>
          <w:sz w:val="20"/>
        </w:rPr>
        <w:t xml:space="preserve"> </w:t>
      </w:r>
      <w:r>
        <w:rPr>
          <w:rFonts w:ascii="Times New Roman" w:hAnsi="Times New Roman"/>
          <w:b/>
          <w:color w:val="000000"/>
          <w:sz w:val="24"/>
        </w:rPr>
        <w:t>TO CONSIDER THIS AGREEMENT. EMPLOYEE ALSO IS ADVISED TO CONSULT WITH AN ATTORNEY PRIOR TO EMPLOYEE’S SIGNING OF THIS AGREEMENT.</w:t>
      </w:r>
    </w:p>
    <w:p>
      <w:pPr>
        <w:pStyle w:val="TextBody"/>
        <w:bidi w:val="0"/>
        <w:spacing w:before="0" w:after="200"/>
        <w:jc w:val="both"/>
        <w:rPr>
          <w:rFonts w:ascii="Times New Roman" w:hAnsi="Times New Roman"/>
          <w:sz w:val="20"/>
        </w:rPr>
      </w:pPr>
      <w:r>
        <w:rPr>
          <w:rFonts w:ascii="Times New Roman" w:hAnsi="Times New Roman"/>
          <w:b/>
          <w:smallCaps/>
          <w:color w:val="000000"/>
          <w:sz w:val="24"/>
        </w:rPr>
        <w:t xml:space="preserve">EMPLOYEE AGREES THAT ANY MODIFICATIONS, MATERIAL OR OTHERWISE, MADE TO THIS AGREEMENT, DO NOT RESTART OR AFFECT IN ANY MANNER THE ORIGINAL CONSIDERATION PERIOD DEADLINE OF </w:t>
      </w:r>
      <w:r>
        <w:rPr>
          <w:rFonts w:ascii="Times New Roman" w:hAnsi="Times New Roman"/>
          <w:b/>
          <w:smallCaps/>
          <w:color w:val="000000"/>
          <w:sz w:val="24"/>
          <w:u w:val="single"/>
        </w:rPr>
        <w:t>8:00 AM EST ON FEBRUARY 24, 2025</w:t>
      </w:r>
      <w:r>
        <w:rPr>
          <w:rFonts w:ascii="Times New Roman" w:hAnsi="Times New Roman"/>
          <w:b/>
          <w:smallCaps/>
          <w:color w:val="000000"/>
          <w:sz w:val="24"/>
        </w:rPr>
        <w:t>.</w:t>
      </w:r>
    </w:p>
    <w:p>
      <w:pPr>
        <w:pStyle w:val="TextBody"/>
        <w:bidi w:val="0"/>
        <w:spacing w:before="0" w:after="200"/>
        <w:jc w:val="both"/>
        <w:rPr>
          <w:rFonts w:ascii="Times New Roman" w:hAnsi="Times New Roman"/>
          <w:b/>
          <w:smallCaps/>
          <w:color w:val="000000"/>
          <w:sz w:val="24"/>
        </w:rPr>
      </w:pPr>
      <w:r>
        <w:rPr>
          <w:rFonts w:ascii="Times New Roman" w:hAnsi="Times New Roman"/>
          <w:b/>
          <w:smallCaps/>
          <w:color w:val="000000"/>
          <w:sz w:val="24"/>
        </w:rPr>
        <w:t>EMPLOYEE FREELY AND KNOWINGLY, AND AFTER DUE CONSIDERATION, ENTERS INTO THIS AGREEMENT INTENDING TO WAIVE, SETTLE, AND RELEASE ALL CLAIMS EMPLOYEE HAS OR MIGHT HAVE AGAINST RELEASEES.</w:t>
      </w:r>
    </w:p>
    <w:p>
      <w:pPr>
        <w:pStyle w:val="TextBody"/>
        <w:bidi w:val="0"/>
        <w:spacing w:before="0" w:after="200"/>
        <w:jc w:val="both"/>
        <w:rPr/>
      </w:pPr>
      <w:r>
        <w:rPr/>
        <w:t> </w:t>
      </w:r>
    </w:p>
    <w:p>
      <w:pPr>
        <w:pStyle w:val="TextBody"/>
        <w:bidi w:val="0"/>
        <w:spacing w:before="0" w:after="20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Parties knowingly and voluntarily sign this Agreement as of the date(s) set forth below: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ELISA PALAZZO CARGURUS, INC.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Elisa Palazzo </w:t>
      </w:r>
      <w:r>
        <w:rPr>
          <w:rFonts w:ascii="Times New Roman" w:hAnsi="Times New Roman"/>
          <w:color w:val="000000"/>
          <w:sz w:val="24"/>
        </w:rPr>
        <w:t xml:space="preserve">By: </w:t>
      </w:r>
      <w:r>
        <w:rPr>
          <w:rFonts w:ascii="Times New Roman" w:hAnsi="Times New Roman"/>
          <w:color w:val="000000"/>
          <w:sz w:val="24"/>
          <w:u w:val="single"/>
        </w:rPr>
        <w:t xml:space="preserve">/s/ Jennifer Hanson </w:t>
      </w:r>
    </w:p>
    <w:p>
      <w:pPr>
        <w:pStyle w:val="TextBody"/>
        <w:bidi w:val="0"/>
        <w:jc w:val="both"/>
        <w:rPr>
          <w:rFonts w:ascii="Times New Roman" w:hAnsi="Times New Roman"/>
          <w:color w:val="000000"/>
          <w:sz w:val="24"/>
        </w:rPr>
      </w:pPr>
      <w:r>
        <w:rPr>
          <w:rFonts w:ascii="Times New Roman" w:hAnsi="Times New Roman"/>
          <w:color w:val="000000"/>
          <w:sz w:val="24"/>
        </w:rPr>
        <w:t>Jennifer Hanson, Chief People Officer</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February 23, 2025 </w:t>
      </w:r>
      <w:r>
        <w:rPr>
          <w:rFonts w:ascii="Times New Roman" w:hAnsi="Times New Roman"/>
          <w:color w:val="000000"/>
          <w:sz w:val="24"/>
        </w:rPr>
        <w:t xml:space="preserve">Date: </w:t>
      </w:r>
      <w:r>
        <w:rPr>
          <w:rFonts w:ascii="Times New Roman" w:hAnsi="Times New Roman"/>
          <w:color w:val="000000"/>
          <w:sz w:val="24"/>
          <w:u w:val="single"/>
        </w:rPr>
        <w:t xml:space="preserve">February 23, 2025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both"/>
        <w:rPr>
          <w:rFonts w:ascii="Times New Roman" w:hAnsi="Times New Roman"/>
          <w:sz w:val="20"/>
        </w:rPr>
      </w:pPr>
      <w:r>
        <w:rPr>
          <w:rFonts w:ascii="Times New Roman" w:hAnsi="Times New Roman"/>
          <w:color w:val="000000"/>
          <w:sz w:val="24"/>
        </w:rPr>
        <w:t xml:space="preserve">In consideration of the monies and benefits to be provided to Employee in Sections 2(c) through 2(d) of the above Separation Agreement and General Release (“Agreement”) to which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is attached, and other good and valuable consideration, the receipt of which Employee hereby acknowledges, Employee, on Employee’s own behalf and on behalf of Employee’s heirs, executors, administrators, successors, and assigns knowingly and voluntarily release and forever discharge Employer, its direct and indirect parent corporations, affiliates, subsidiaries, divisions, predecessors, insurers, reinsurers, representatives, successors and assigns, and their current and former employees, attorneys, partners, officers, directors, and agents thereof, both individually and in their business capacities, and their employee benefit plans and programs and their administrators and fiduciaries, both individually and in their business capacities (collectively referred to throughout the remainder of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as “Releasees”), of and from any and all claims, known and unknown, asserted or unasserted, which the Employee has or may have against Releasees as of the date of execution of </w:t>
      </w:r>
      <w:r>
        <w:rPr>
          <w:rFonts w:ascii="Times New Roman" w:hAnsi="Times New Roman"/>
          <w:b/>
          <w:color w:val="000000"/>
          <w:sz w:val="24"/>
          <w:u w:val="single"/>
        </w:rPr>
        <w:t>Exhibit A</w:t>
      </w:r>
      <w:r>
        <w:rPr>
          <w:rFonts w:ascii="Times New Roman" w:hAnsi="Times New Roman"/>
          <w:color w:val="000000"/>
          <w:sz w:val="24"/>
        </w:rPr>
        <w:t>, including, but not limited to, any alleged violation of the following, as amended: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Executive Order 11141;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Title VII of the Civil Rights Act of 1964;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Sections 1981 through 1988 of Title 42 of the United States Code;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Employee Retirement Income Security Act of 1974;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Internal Revenue Code of 1986,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Immigration Reform and Control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Americans with Disabilities Act of 1990;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Worker Adjustment and Retraining Notification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Fair Credit Reporting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Family and Medical Leave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Equal Pay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Genetic Information Nondiscrimination Act of 2008;</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Uniformed Services Employment and Reemployment Rights Act of 1994;</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Families First Coronavirus Response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Pregnant Worker’s Fairness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Executive Order 11246;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Rehabilitation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Vietnam Era Veterans’ Readjustment Assistance Act;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Law Against Discrimination, G.L. c. 151B,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Equal Rights Act, G.L. c. 93,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Civil Rights Act, G.L. c. 12,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Privacy Statute, G.L. c. 214, § 1B,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Sexual Harassment Statute, G.L. c. 214, § 1C;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Wage Payment Statute, G.L. c. 149, §§ 148, 148A, 148B, 148C, 149, 150, 150A-150C, 151, 152, 152A, et seq.;</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Wage and Hour laws, G.L. c. 151§1A et seq.;</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The Massachusetts Fair Employment Practices Act., G.L. c. 151B;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Workers’ Compensation Act, G.L. c. 152, § 75B;</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Small Necessities Act, G.L. c. 149, § 52D;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Equal Pay Act, G.L. c. 149, § 105A-C;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Equal Rights for the Elderly and Disabled, G.L. c. 93, § 103;</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AIDS Testing statute, G.L. c. 111, §70F;</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Consumer Protection Act, G.L. c. 93A;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Massachusetts Employment Leave for Victims and Family Members of Abuse, G.L. c. 149, §52E, as amended;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Earned Sick Time Law, M.G.L. c. 149, § 148C;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Massachusetts Paid Family and Medical Leave Act, M.G.L. c.175M et seq.;</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Massachusetts Parental Leave Act, G.L. c. 149, § 105D;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Massachusetts Age Discrimination Law, G.L. c. 149 §24 A et seq.;</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State Executive Law (including its Human Rights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Equal Pay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Non-Discrimination for Legal Activities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Whistleblower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Workers’ Compensation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wage and hour and wage payment laws and regulations;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Paid Sick Leave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False Claims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Criminal and Consumer Background Laws, N.Y. Gen. Bus. Law Sec. 380-B et seq.;</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Non-Discrimination and Anti-Retaliation Provisions of the New York Workers’ Compensation Law and the New York Disabilities Law;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New York Labor Law;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New York State Worker Adjustment and Retraining Notification Act;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 xml:space="preserve">The New York Occupational Safety and Health Laws;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Fair Credit Reporting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Constitution;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City Administrative Code and Charter (including its Human Rights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City Earned Sick Time Act;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City Temporary Schedule Change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City Human Rights Law;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New York City Civil Rights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Any other claims under any local, state, or federal common law theory, including but not limited to, any claim for wrongful discharge, unjust enrichment, breach of a covenant of good faith and fair dealing, violation of public policy, defamation, interference with contractual relations, intentional or negligent infliction of emotion distress, invasion of privacy, misrepresentation, deceit, fraud, or negligence, breach of contract, implied contract, promissory estoppel, quantum meruit, any claim to attorney’s fees under any applicable statute or common law theory of recovery, or any claim sounding in tort;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Any other federal, state, or local law, rule, regulation, or ordinance;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Any other public policy, contract, tort, or common law;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Any other claim for costs, fees, or other expenses including attorneys’ fees incurred in these matters.</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color w:val="000000"/>
          <w:sz w:val="24"/>
        </w:rPr>
        <w:t xml:space="preserve">Employee specifically acknowledges that, upon Employee’s execution of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Employee has been properly paid for all time worked and is unaware of any facts that would support a claim by Employee against any of the Releasees for any claim of unpaid wages or overtime or any other violation of the Fair Labor Standards Act and/or applicable state or local wage and hour laws.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Notwithstanding the foregoing, Employee is not waiving any rights Employee may have to: (i) </w:t>
      </w:r>
      <w:r>
        <w:rPr>
          <w:rFonts w:ascii="Times New Roman" w:hAnsi="Times New Roman"/>
          <w:color w:val="1A1A1A"/>
          <w:sz w:val="24"/>
        </w:rPr>
        <w:t xml:space="preserve">indemnification, contribution, advancement or defense as provided by, and in accordance with the terms of the Company by-laws, certificate of incorporation, liability insurance coverage, or applicable law; (ii) </w:t>
      </w:r>
      <w:r>
        <w:rPr>
          <w:rFonts w:ascii="Times New Roman" w:hAnsi="Times New Roman"/>
          <w:color w:val="000000"/>
          <w:sz w:val="24"/>
        </w:rPr>
        <w:t xml:space="preserve">Employee’s own vested or accrued employee benefits under Employer’s qualified retirement benefit plans as of the Extended Separation Date; (iii) benefits and/or the right to seek benefits under applicable workers’ compensation and/or unemployment compensation statutes; (iv) pursue claims which by law cannot be waived by signing this </w:t>
      </w:r>
      <w:r>
        <w:rPr>
          <w:rFonts w:ascii="Times New Roman" w:hAnsi="Times New Roman"/>
          <w:b/>
          <w:color w:val="000000"/>
          <w:sz w:val="24"/>
          <w:u w:val="single"/>
        </w:rPr>
        <w:t>Exhibit A</w:t>
      </w:r>
      <w:r>
        <w:rPr>
          <w:rFonts w:ascii="Times New Roman" w:hAnsi="Times New Roman"/>
          <w:color w:val="000000"/>
          <w:sz w:val="24"/>
        </w:rPr>
        <w:t xml:space="preserve">; and (v) enforce this </w:t>
      </w:r>
      <w:r>
        <w:rPr>
          <w:rFonts w:ascii="Times New Roman" w:hAnsi="Times New Roman"/>
          <w:b/>
          <w:color w:val="000000"/>
          <w:sz w:val="24"/>
          <w:u w:val="single"/>
        </w:rPr>
        <w:t>Exhibit A</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Employee understands that Employee has been given a reasonable period to consider this general release identified as </w:t>
      </w:r>
      <w:r>
        <w:rPr>
          <w:rFonts w:ascii="Times New Roman" w:hAnsi="Times New Roman"/>
          <w:b/>
          <w:color w:val="000000"/>
          <w:sz w:val="24"/>
          <w:u w:val="single"/>
        </w:rPr>
        <w:t>Exhibit A</w:t>
      </w:r>
      <w:r>
        <w:rPr>
          <w:rFonts w:ascii="Times New Roman" w:hAnsi="Times New Roman"/>
          <w:color w:val="000000"/>
          <w:sz w:val="24"/>
        </w:rPr>
        <w:t xml:space="preserve">, and that Employee is hereby advised to consult with and has consulted with an attorney prior to Employee’s execution of this general release identified as </w:t>
      </w:r>
      <w:r>
        <w:rPr>
          <w:rFonts w:ascii="Times New Roman" w:hAnsi="Times New Roman"/>
          <w:b/>
          <w:color w:val="000000"/>
          <w:sz w:val="24"/>
          <w:u w:val="single"/>
        </w:rPr>
        <w:t>Exhibit A</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Employee also agrees that Employer’s obligations to provide Employee with the monies and benefits set forth in Sections 2(c) through 2(d) of the Agreement to which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is attached shall not become effective until Employee provides Employer with an executed version of this </w:t>
      </w:r>
      <w:r>
        <w:rPr>
          <w:rFonts w:ascii="Times New Roman" w:hAnsi="Times New Roman"/>
          <w:b/>
          <w:color w:val="000000"/>
          <w:sz w:val="24"/>
          <w:u w:val="single"/>
        </w:rPr>
        <w:t>Exhibit A</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Employee also acknowledges and agrees that any of Employer’s obligations to provide Employee with the monies and benefits set forth in Sections 2(c) through 2(d) of the Agreement to which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is attached is expressly conditioned on Employee’s continued full performance of Employee’s obligations under </w:t>
      </w:r>
      <w:r>
        <w:rPr>
          <w:rFonts w:ascii="Times New Roman" w:hAnsi="Times New Roman"/>
          <w:b/>
          <w:color w:val="000000"/>
          <w:sz w:val="24"/>
          <w:u w:val="single"/>
        </w:rPr>
        <w:t>Exhibit A</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Employee further acknowledges that Employee has been paid and have received all leave (paid or unpaid), compensation, wages, bonuses, commissions, severance pay, and/or benefits to which Employee may be entitled and that no other leave (paid or unpaid), compensation, wages, bonuses, commissions, severance pay, and/or benefits are due to Employee, except as provided in the Agreement or </w:t>
      </w:r>
      <w:r>
        <w:rPr>
          <w:rFonts w:ascii="Times New Roman" w:hAnsi="Times New Roman"/>
          <w:b/>
          <w:color w:val="000000"/>
          <w:sz w:val="24"/>
          <w:u w:val="single"/>
        </w:rPr>
        <w:t>Exhibit A</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Employee acknowledges that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contains a release of any and all claims Employee may have under the Massachusetts Wage Act and that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is intended to resolve any and all disputes related to wages, commissions, or other compensation.</w:t>
      </w:r>
    </w:p>
    <w:p>
      <w:pPr>
        <w:pStyle w:val="TextBody"/>
        <w:bidi w:val="0"/>
        <w:jc w:val="both"/>
        <w:rPr>
          <w:rFonts w:ascii="Times New Roman" w:hAnsi="Times New Roman"/>
          <w:sz w:val="20"/>
        </w:rPr>
      </w:pPr>
      <w:r>
        <w:rPr>
          <w:rFonts w:ascii="Times New Roman" w:hAnsi="Times New Roman"/>
          <w:b/>
          <w:color w:val="000000"/>
          <w:sz w:val="24"/>
        </w:rPr>
        <w:t xml:space="preserve">EMPLOYEE UNDERSTANDS THAT EMPLOYEE CANNOT EXECUTE THIS </w:t>
      </w:r>
      <w:r>
        <w:rPr>
          <w:rFonts w:ascii="Times New Roman" w:hAnsi="Times New Roman"/>
          <w:b/>
          <w:color w:val="000000"/>
          <w:sz w:val="24"/>
          <w:u w:val="single"/>
        </w:rPr>
        <w:t>EXHIBIT A</w:t>
      </w:r>
      <w:r>
        <w:rPr>
          <w:rFonts w:ascii="Times New Roman" w:hAnsi="Times New Roman"/>
          <w:color w:val="000000"/>
          <w:sz w:val="20"/>
        </w:rPr>
        <w:t xml:space="preserve"> </w:t>
      </w:r>
      <w:r>
        <w:rPr>
          <w:rFonts w:ascii="Times New Roman" w:hAnsi="Times New Roman"/>
          <w:b/>
          <w:color w:val="000000"/>
          <w:sz w:val="24"/>
        </w:rPr>
        <w:t>PRIOR TO THE EXTENDED SEPARATION DATE.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b/>
          <w:smallCaps/>
          <w:color w:val="000000"/>
          <w:sz w:val="24"/>
        </w:rPr>
        <w:t xml:space="preserve">EMPLOYEE IS ADVISED THAT EMPLOYEE HAS A REASONABLE PERIOD TO CONSIDER THIS </w:t>
      </w:r>
      <w:r>
        <w:rPr>
          <w:rFonts w:ascii="Times New Roman" w:hAnsi="Times New Roman"/>
          <w:b/>
          <w:smallCaps/>
          <w:color w:val="000000"/>
          <w:sz w:val="24"/>
          <w:u w:val="single"/>
        </w:rPr>
        <w:t>EXHIBIT A</w:t>
      </w:r>
      <w:r>
        <w:rPr>
          <w:rFonts w:ascii="Times New Roman" w:hAnsi="Times New Roman"/>
          <w:b/>
          <w:smallCaps/>
          <w:color w:val="000000"/>
          <w:sz w:val="24"/>
        </w:rPr>
        <w:t xml:space="preserve">. EMPLOYEE ALSO IS ADVISED TO CONSULT WITH AN ATTORNEY PRIOR TO EMPLOYEE’S SIGNING OF THIS </w:t>
      </w:r>
      <w:r>
        <w:rPr>
          <w:rFonts w:ascii="Times New Roman" w:hAnsi="Times New Roman"/>
          <w:b/>
          <w:smallCaps/>
          <w:color w:val="000000"/>
          <w:sz w:val="24"/>
          <w:u w:val="single"/>
        </w:rPr>
        <w:t>EXHIBIT A</w:t>
      </w:r>
      <w:r>
        <w:rPr>
          <w:rFonts w:ascii="Times New Roman" w:hAnsi="Times New Roman"/>
          <w:b/>
          <w:smallCaps/>
          <w:color w:val="000000"/>
          <w:sz w:val="24"/>
        </w:rPr>
        <w:t>.</w:t>
      </w:r>
    </w:p>
    <w:p>
      <w:pPr>
        <w:pStyle w:val="TextBody"/>
        <w:bidi w:val="0"/>
        <w:spacing w:before="0" w:after="160"/>
        <w:jc w:val="both"/>
        <w:rPr>
          <w:rFonts w:ascii="Times New Roman" w:hAnsi="Times New Roman"/>
          <w:sz w:val="20"/>
        </w:rPr>
      </w:pPr>
      <w:r>
        <w:rPr>
          <w:rFonts w:ascii="Times New Roman" w:hAnsi="Times New Roman"/>
          <w:b/>
          <w:smallCaps/>
          <w:color w:val="000000"/>
          <w:sz w:val="24"/>
        </w:rPr>
        <w:t xml:space="preserve">EMPLOYEE AGREES THAT ANY MODIFICATIONS, MATERIAL OR OTHERWISE, MADE TO THIS </w:t>
      </w:r>
      <w:r>
        <w:rPr>
          <w:rFonts w:ascii="Times New Roman" w:hAnsi="Times New Roman"/>
          <w:b/>
          <w:smallCaps/>
          <w:color w:val="000000"/>
          <w:sz w:val="24"/>
          <w:u w:val="single"/>
        </w:rPr>
        <w:t>EXHIBIT A</w:t>
      </w:r>
      <w:r>
        <w:rPr>
          <w:rFonts w:ascii="Times New Roman" w:hAnsi="Times New Roman"/>
          <w:b/>
          <w:smallCaps/>
          <w:color w:val="000000"/>
          <w:sz w:val="24"/>
        </w:rPr>
        <w:t>, DO NOT RESTART OR AFFECT IN ANY MANNER THE REASONABLE CONSIDERATION PERIOD.</w:t>
      </w:r>
    </w:p>
    <w:p>
      <w:pPr>
        <w:pStyle w:val="TextBody"/>
        <w:bidi w:val="0"/>
        <w:spacing w:before="0" w:after="160"/>
        <w:jc w:val="both"/>
        <w:rPr>
          <w:rFonts w:ascii="Times New Roman" w:hAnsi="Times New Roman"/>
          <w:sz w:val="20"/>
        </w:rPr>
      </w:pPr>
      <w:r>
        <w:rPr>
          <w:rFonts w:ascii="Times New Roman" w:hAnsi="Times New Roman"/>
          <w:b/>
          <w:smallCaps/>
          <w:color w:val="000000"/>
          <w:sz w:val="24"/>
        </w:rPr>
        <w:t xml:space="preserve">EMPLOYEE FREELY AND KNOWINGLY, AND AFTER DUE CONSIDERATION, ENTERS INTO THIS </w:t>
      </w:r>
      <w:r>
        <w:rPr>
          <w:rFonts w:ascii="Times New Roman" w:hAnsi="Times New Roman"/>
          <w:b/>
          <w:smallCaps/>
          <w:color w:val="000000"/>
          <w:sz w:val="24"/>
          <w:u w:val="single"/>
        </w:rPr>
        <w:t>EXHIBIT A</w:t>
      </w:r>
      <w:r>
        <w:rPr>
          <w:rFonts w:ascii="Times New Roman" w:hAnsi="Times New Roman"/>
          <w:smallCaps/>
          <w:color w:val="000000"/>
          <w:sz w:val="20"/>
        </w:rPr>
        <w:t xml:space="preserve"> </w:t>
      </w:r>
      <w:r>
        <w:rPr>
          <w:rFonts w:ascii="Times New Roman" w:hAnsi="Times New Roman"/>
          <w:b/>
          <w:smallCaps/>
          <w:color w:val="000000"/>
          <w:sz w:val="24"/>
        </w:rPr>
        <w:t>INTENDING TO WAIVE, SETTLE, AND RELEASE ALL CLAIMS EMPLOYEE HAS OR MIGHT HAVE AGAINST RELEASEES.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ELISA PALAZZO CARGURUS, INC.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Elisa Palazzo </w:t>
      </w:r>
      <w:r>
        <w:rPr>
          <w:rFonts w:ascii="Times New Roman" w:hAnsi="Times New Roman"/>
          <w:color w:val="000000"/>
          <w:sz w:val="24"/>
        </w:rPr>
        <w:t xml:space="preserve">By: </w:t>
      </w:r>
      <w:r>
        <w:rPr>
          <w:rFonts w:ascii="Times New Roman" w:hAnsi="Times New Roman"/>
          <w:color w:val="000000"/>
          <w:sz w:val="24"/>
          <w:u w:val="single"/>
        </w:rPr>
        <w:t xml:space="preserve">/s/ Jennifer Hanson </w:t>
      </w:r>
    </w:p>
    <w:p>
      <w:pPr>
        <w:pStyle w:val="TextBody"/>
        <w:bidi w:val="0"/>
        <w:jc w:val="both"/>
        <w:rPr>
          <w:rFonts w:ascii="Times New Roman" w:hAnsi="Times New Roman"/>
          <w:color w:val="000000"/>
          <w:sz w:val="24"/>
        </w:rPr>
      </w:pPr>
      <w:r>
        <w:rPr>
          <w:rFonts w:ascii="Times New Roman" w:hAnsi="Times New Roman"/>
          <w:color w:val="000000"/>
          <w:sz w:val="24"/>
        </w:rPr>
        <w:t>Jennifer Hanson, Chief People Officer</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 xml:space="preserve">March 7, 2025 </w:t>
      </w:r>
      <w:r>
        <w:rPr>
          <w:rFonts w:ascii="Times New Roman" w:hAnsi="Times New Roman"/>
          <w:color w:val="000000"/>
          <w:sz w:val="24"/>
        </w:rPr>
        <w:t xml:space="preserve">Date: </w:t>
      </w:r>
      <w:r>
        <w:rPr>
          <w:rFonts w:ascii="Times New Roman" w:hAnsi="Times New Roman"/>
          <w:color w:val="000000"/>
          <w:sz w:val="24"/>
          <w:u w:val="single"/>
        </w:rPr>
        <w:t xml:space="preserve">March 7, 2025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carg-ex31_1.htm"/>
      <w:bookmarkStart w:id="25" w:name="kscargex31_1"/>
      <w:bookmarkEnd w:id="24"/>
      <w:bookmarkEnd w:id="25"/>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31.1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RULES 13a-14(a) AND 15d-14(a) UNDER THE SECURITIES EXCHANGE ACT OF 1934,</w:t>
      </w:r>
    </w:p>
    <w:p>
      <w:pPr>
        <w:pStyle w:val="TextBody"/>
        <w:bidi w:val="0"/>
        <w:jc w:val="center"/>
        <w:rPr>
          <w:rFonts w:ascii="Outfit;sans-serif" w:hAnsi="Outfit;sans-serif"/>
          <w:b/>
          <w:color w:val="000000"/>
          <w:sz w:val="20"/>
        </w:rPr>
      </w:pPr>
      <w:r>
        <w:rPr>
          <w:rFonts w:ascii="Outfit;sans-serif" w:hAnsi="Outfit;sans-serif"/>
          <w:b/>
          <w:color w:val="000000"/>
          <w:sz w:val="20"/>
        </w:rPr>
        <w:t>AS ADOPTED PURSUANT TO SECTION 302 OF THE SARBANES-OXLEY ACT OF 2002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Jason Trevisan, certify that:</w:t>
      </w:r>
    </w:p>
    <w:p>
      <w:pPr>
        <w:pStyle w:val="TextBody"/>
        <w:bidi w:val="0"/>
        <w:spacing w:before="180" w:after="283"/>
        <w:jc w:val="both"/>
        <w:rPr>
          <w:rFonts w:ascii="Outfit" w:hAnsi="Outfit"/>
          <w:color w:val="000000"/>
          <w:sz w:val="20"/>
        </w:rPr>
      </w:pPr>
      <w:r>
        <w:rPr>
          <w:rFonts w:ascii="Outfit" w:hAnsi="Outfit"/>
          <w:color w:val="000000"/>
          <w:sz w:val="20"/>
        </w:rPr>
        <w:t>1.</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I have reviewed this Quarterly Report on Form 10-Q of CarGurus, Inc.;</w:t>
      </w:r>
    </w:p>
    <w:p>
      <w:pPr>
        <w:pStyle w:val="TextBody"/>
        <w:bidi w:val="0"/>
        <w:spacing w:before="180" w:after="283"/>
        <w:jc w:val="both"/>
        <w:rPr>
          <w:rFonts w:ascii="Outfit" w:hAnsi="Outfit"/>
          <w:color w:val="000000"/>
          <w:sz w:val="20"/>
        </w:rPr>
      </w:pPr>
      <w:r>
        <w:rPr>
          <w:rFonts w:ascii="Outfit" w:hAnsi="Outfit"/>
          <w:color w:val="000000"/>
          <w:sz w:val="20"/>
        </w:rPr>
        <w:t>2.</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80" w:after="283"/>
        <w:jc w:val="both"/>
        <w:rPr>
          <w:rFonts w:ascii="Outfit" w:hAnsi="Outfit"/>
          <w:color w:val="000000"/>
          <w:sz w:val="20"/>
        </w:rPr>
      </w:pPr>
      <w:r>
        <w:rPr>
          <w:rFonts w:ascii="Outfit" w:hAnsi="Outfit"/>
          <w:color w:val="000000"/>
          <w:sz w:val="20"/>
        </w:rPr>
        <w:t>3.</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80" w:after="283"/>
        <w:jc w:val="both"/>
        <w:rPr>
          <w:rFonts w:ascii="Outfit" w:hAnsi="Outfit"/>
          <w:color w:val="000000"/>
          <w:sz w:val="20"/>
        </w:rPr>
      </w:pPr>
      <w:r>
        <w:rPr>
          <w:rFonts w:ascii="Outfit" w:hAnsi="Outfit"/>
          <w:color w:val="000000"/>
          <w:sz w:val="20"/>
        </w:rPr>
        <w:t>4.</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80" w:after="283"/>
        <w:jc w:val="both"/>
        <w:rPr>
          <w:rFonts w:ascii="Outfit" w:hAnsi="Outfit"/>
          <w:color w:val="000000"/>
          <w:sz w:val="20"/>
        </w:rPr>
      </w:pPr>
      <w:r>
        <w:rPr>
          <w:rFonts w:ascii="Outfit" w:hAnsi="Outfit"/>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80" w:after="283"/>
        <w:jc w:val="both"/>
        <w:rPr>
          <w:rFonts w:ascii="Outfit" w:hAnsi="Outfit"/>
          <w:color w:val="000000"/>
          <w:sz w:val="20"/>
        </w:rPr>
      </w:pPr>
      <w:r>
        <w:rPr>
          <w:rFonts w:ascii="Outfit" w:hAnsi="Outfit"/>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80" w:after="283"/>
        <w:jc w:val="both"/>
        <w:rPr>
          <w:rFonts w:ascii="Outfit" w:hAnsi="Outfit"/>
          <w:color w:val="000000"/>
          <w:sz w:val="20"/>
        </w:rPr>
      </w:pPr>
      <w:r>
        <w:rPr>
          <w:rFonts w:ascii="Outfit" w:hAnsi="Outfit"/>
          <w:color w:val="000000"/>
          <w:sz w:val="20"/>
        </w:rPr>
        <w:t>(c)</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80" w:after="283"/>
        <w:jc w:val="both"/>
        <w:rPr>
          <w:rFonts w:ascii="Outfit" w:hAnsi="Outfit"/>
          <w:color w:val="000000"/>
          <w:sz w:val="20"/>
        </w:rPr>
      </w:pPr>
      <w:r>
        <w:rPr>
          <w:rFonts w:ascii="Outfit" w:hAnsi="Outfit"/>
          <w:color w:val="000000"/>
          <w:sz w:val="20"/>
        </w:rPr>
        <w:t>(d)</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80" w:after="283"/>
        <w:jc w:val="both"/>
        <w:rPr>
          <w:rFonts w:ascii="Outfit" w:hAnsi="Outfit"/>
          <w:color w:val="000000"/>
          <w:sz w:val="20"/>
        </w:rPr>
      </w:pPr>
      <w:r>
        <w:rPr>
          <w:rFonts w:ascii="Outfit" w:hAnsi="Outfit"/>
          <w:color w:val="000000"/>
          <w:sz w:val="20"/>
        </w:rPr>
        <w:t>5.</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80" w:after="283"/>
        <w:jc w:val="both"/>
        <w:rPr>
          <w:rFonts w:ascii="Outfit" w:hAnsi="Outfit"/>
          <w:color w:val="000000"/>
          <w:sz w:val="20"/>
        </w:rPr>
      </w:pPr>
      <w:r>
        <w:rPr>
          <w:rFonts w:ascii="Outfit" w:hAnsi="Outfit"/>
          <w:color w:val="000000"/>
          <w:sz w:val="20"/>
        </w:rPr>
        <w:t>(a)</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80" w:after="283"/>
        <w:jc w:val="both"/>
        <w:rPr>
          <w:rFonts w:ascii="Outfit" w:hAnsi="Outfit"/>
          <w:color w:val="000000"/>
          <w:sz w:val="20"/>
        </w:rPr>
      </w:pPr>
      <w:r>
        <w:rPr>
          <w:rFonts w:ascii="Outfit" w:hAnsi="Outfit"/>
          <w:color w:val="000000"/>
          <w:sz w:val="20"/>
        </w:rPr>
        <w:t>(b)</w:t>
      </w:r>
    </w:p>
    <w:p>
      <w:pPr>
        <w:pStyle w:val="TextBody"/>
        <w:bidi w:val="0"/>
        <w:spacing w:before="180" w:after="283"/>
        <w:jc w:val="both"/>
        <w:rPr>
          <w:rFonts w:ascii="Outfit;sans-serif" w:hAnsi="Outfit;sans-serif"/>
          <w:color w:val="000000"/>
          <w:sz w:val="20"/>
        </w:rPr>
      </w:pPr>
      <w:r>
        <w:rPr>
          <w:rFonts w:ascii="Outfit;sans-serif" w:hAnsi="Outfit;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2"/>
        <w:gridCol w:w="109"/>
        <w:gridCol w:w="414"/>
        <w:gridCol w:w="7920"/>
      </w:tblGrid>
      <w:tr>
        <w:trPr/>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17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1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1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carg-ex32_1.htm"/>
      <w:bookmarkStart w:id="27" w:name="kscargex32_1"/>
      <w:bookmarkEnd w:id="26"/>
      <w:bookmarkEnd w:id="27"/>
      <w:r>
        <w:rPr/>
        <w:t> </w:t>
      </w:r>
      <w:r>
        <w:br w:type="page"/>
      </w:r>
    </w:p>
    <w:p>
      <w:pPr>
        <w:pStyle w:val="TextBody"/>
        <w:bidi w:val="0"/>
        <w:jc w:val="right"/>
        <w:rPr>
          <w:rFonts w:ascii="Outfit;sans-serif" w:hAnsi="Outfit;sans-serif"/>
          <w:b/>
          <w:color w:val="000000"/>
          <w:sz w:val="20"/>
        </w:rPr>
      </w:pPr>
      <w:r>
        <w:rPr>
          <w:rFonts w:ascii="Outfit;sans-serif" w:hAnsi="Outfit;sans-serif"/>
          <w:b/>
          <w:color w:val="000000"/>
          <w:sz w:val="20"/>
        </w:rPr>
        <w:t>Exhibit 32.1</w:t>
      </w:r>
    </w:p>
    <w:p>
      <w:pPr>
        <w:pStyle w:val="TextBody"/>
        <w:bidi w:val="0"/>
        <w:spacing w:before="240" w:after="283"/>
        <w:jc w:val="center"/>
        <w:rPr>
          <w:rFonts w:ascii="Outfit;sans-serif" w:hAnsi="Outfit;sans-serif"/>
          <w:b/>
          <w:color w:val="000000"/>
          <w:sz w:val="20"/>
        </w:rPr>
      </w:pPr>
      <w:r>
        <w:rPr>
          <w:rFonts w:ascii="Outfit;sans-serif" w:hAnsi="Outfit;sans-serif"/>
          <w:b/>
          <w:color w:val="000000"/>
          <w:sz w:val="20"/>
        </w:rPr>
        <w:t>CERTIFICATION PURSUANT TO</w:t>
      </w:r>
    </w:p>
    <w:p>
      <w:pPr>
        <w:pStyle w:val="TextBody"/>
        <w:bidi w:val="0"/>
        <w:jc w:val="center"/>
        <w:rPr>
          <w:rFonts w:ascii="Outfit;sans-serif" w:hAnsi="Outfit;sans-serif"/>
          <w:b/>
          <w:color w:val="000000"/>
          <w:sz w:val="20"/>
        </w:rPr>
      </w:pPr>
      <w:r>
        <w:rPr>
          <w:rFonts w:ascii="Outfit;sans-serif" w:hAnsi="Outfit;sans-serif"/>
          <w:b/>
          <w:color w:val="000000"/>
          <w:sz w:val="20"/>
        </w:rPr>
        <w:t>18 U.S.C. SECTION 1350, AS ADOPTED PURSUANT TO</w:t>
      </w:r>
    </w:p>
    <w:p>
      <w:pPr>
        <w:pStyle w:val="TextBody"/>
        <w:bidi w:val="0"/>
        <w:jc w:val="center"/>
        <w:rPr>
          <w:rFonts w:ascii="Outfit;sans-serif" w:hAnsi="Outfit;sans-serif"/>
          <w:b/>
          <w:color w:val="000000"/>
          <w:sz w:val="20"/>
        </w:rPr>
      </w:pPr>
      <w:r>
        <w:rPr>
          <w:rFonts w:ascii="Outfit;sans-serif" w:hAnsi="Outfit;sans-serif"/>
          <w:b/>
          <w:color w:val="000000"/>
          <w:sz w:val="20"/>
        </w:rPr>
        <w:t>SECTION 906 OF THE SARBANES-OXLEY ACT OF 2002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In connection with the Quarterly Report on Form 10-Q of CarGurus, Inc. (the “Company”) for the period ending March 31, 2025 as filed with the U.S. Securities and Exchange Commission on the date hereof (the “Report”), I, Jason Trevisan, Chief Executive Officer of the Company, certify, pursuant to 18 U.S.C. § 1350, as adopted pursuant to § 906 of the Sarbanes-Oxley Act of 2002, that, based on my knowledge:</w:t>
      </w:r>
    </w:p>
    <w:p>
      <w:pPr>
        <w:pStyle w:val="TextBody"/>
        <w:bidi w:val="0"/>
        <w:spacing w:before="240" w:after="283"/>
        <w:jc w:val="both"/>
        <w:rPr>
          <w:rFonts w:ascii="Outfit" w:hAnsi="Outfit"/>
          <w:color w:val="000000"/>
          <w:sz w:val="20"/>
        </w:rPr>
      </w:pPr>
      <w:r>
        <w:rPr>
          <w:rFonts w:ascii="Outfit" w:hAnsi="Outfit"/>
          <w:color w:val="000000"/>
          <w:sz w:val="20"/>
        </w:rPr>
        <w:t>(1)</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Report fully complies with the requirements of Section 13(a) or 15(d) of the Securities Exchange Act of 1934; and</w:t>
      </w:r>
    </w:p>
    <w:p>
      <w:pPr>
        <w:pStyle w:val="TextBody"/>
        <w:bidi w:val="0"/>
        <w:spacing w:before="240" w:after="283"/>
        <w:jc w:val="both"/>
        <w:rPr>
          <w:rFonts w:ascii="Outfit" w:hAnsi="Outfit"/>
          <w:color w:val="000000"/>
          <w:sz w:val="20"/>
        </w:rPr>
      </w:pPr>
      <w:r>
        <w:rPr>
          <w:rFonts w:ascii="Outfit" w:hAnsi="Outfit"/>
          <w:color w:val="000000"/>
          <w:sz w:val="20"/>
        </w:rPr>
        <w:t>(2)</w:t>
      </w:r>
    </w:p>
    <w:p>
      <w:pPr>
        <w:pStyle w:val="TextBody"/>
        <w:bidi w:val="0"/>
        <w:spacing w:before="240" w:after="283"/>
        <w:jc w:val="both"/>
        <w:rPr>
          <w:rFonts w:ascii="Outfit;sans-serif" w:hAnsi="Outfit;sans-serif"/>
          <w:color w:val="000000"/>
          <w:sz w:val="20"/>
        </w:rPr>
      </w:pPr>
      <w:r>
        <w:rPr>
          <w:rFonts w:ascii="Outfit;sans-serif" w:hAnsi="Outfit;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2"/>
        <w:gridCol w:w="109"/>
        <w:gridCol w:w="414"/>
        <w:gridCol w:w="7920"/>
      </w:tblGrid>
      <w:tr>
        <w:trPr/>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20" w:type="dxa"/>
            <w:tcBorders/>
            <w:vAlign w:val="center"/>
          </w:tcPr>
          <w:p>
            <w:pPr>
              <w:pStyle w:val="TableContents"/>
              <w:bidi w:val="0"/>
              <w:spacing w:before="0" w:after="283"/>
              <w:jc w:val="left"/>
              <w:rPr>
                <w:sz w:val="4"/>
                <w:szCs w:val="4"/>
              </w:rPr>
            </w:pPr>
            <w:r>
              <w:rPr>
                <w:sz w:val="4"/>
                <w:szCs w:val="4"/>
              </w:rPr>
            </w:r>
          </w:p>
        </w:tc>
      </w:tr>
      <w:tr>
        <w:trPr/>
        <w:tc>
          <w:tcPr>
            <w:tcW w:w="1762"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Date: May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By:</w:t>
            </w:r>
          </w:p>
        </w:tc>
        <w:tc>
          <w:tcPr>
            <w:tcW w:w="7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/s/ Jason Trevisan</w:t>
            </w:r>
          </w:p>
        </w:tc>
      </w:tr>
      <w:tr>
        <w:trPr/>
        <w:tc>
          <w:tcPr>
            <w:tcW w:w="1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tcBorders/>
            <w:shd w:fill="FFFFFF" w:val="clear"/>
            <w:tcMar>
              <w:top w:w="0" w:type="dxa"/>
              <w:left w:w="0" w:type="dxa"/>
              <w:bottom w:w="0" w:type="dxa"/>
              <w:right w:w="0" w:type="dxa"/>
            </w:tcMar>
            <w:vAlign w:val="center"/>
          </w:tcPr>
          <w:p>
            <w:pPr>
              <w:pStyle w:val="TableContents"/>
              <w:bidi w:val="0"/>
              <w:spacing w:before="0" w:after="283"/>
              <w:jc w:val="left"/>
              <w:rPr>
                <w:rFonts w:ascii="Outfit;sans-serif" w:hAnsi="Outfit;sans-serif"/>
                <w:color w:val="000000"/>
                <w:sz w:val="20"/>
              </w:rPr>
            </w:pPr>
            <w:r>
              <w:rPr>
                <w:rFonts w:ascii="Outfit;sans-serif" w:hAnsi="Outfit;sans-serif"/>
                <w:color w:val="000000"/>
                <w:sz w:val="20"/>
              </w:rPr>
              <w:t>Jason Trevisan</w:t>
            </w:r>
          </w:p>
        </w:tc>
      </w:tr>
      <w:tr>
        <w:trPr/>
        <w:tc>
          <w:tcPr>
            <w:tcW w:w="1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0"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Outfit;sans-serif" w:hAnsi="Outfit;sans-serif"/>
                <w:color w:val="000000"/>
                <w:sz w:val="20"/>
              </w:rPr>
              <w:t>Chief Executive Officer</w:t>
            </w:r>
            <w:r>
              <w:rPr>
                <w:rFonts w:ascii="Times New Roman" w:hAnsi="Times New Roman"/>
                <w:color w:val="000000"/>
                <w:sz w:val="20"/>
              </w:rPr>
              <w:t xml:space="preserve"> </w:t>
            </w:r>
          </w:p>
          <w:p>
            <w:pPr>
              <w:pStyle w:val="TableContents"/>
              <w:bidi w:val="0"/>
              <w:spacing w:before="0" w:after="283"/>
              <w:jc w:val="left"/>
              <w:rPr>
                <w:rFonts w:ascii="Outfit;sans-serif" w:hAnsi="Outfit;sans-serif"/>
                <w:i/>
                <w:color w:val="000000"/>
                <w:sz w:val="20"/>
              </w:rPr>
            </w:pPr>
            <w:r>
              <w:rPr>
                <w:rFonts w:ascii="Outfit;sans-serif" w:hAnsi="Outfit;sans-serif"/>
                <w:i/>
                <w:color w:val="000000"/>
                <w:sz w:val="20"/>
              </w:rPr>
              <w:t>(Principal Executive Officer, 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Outfit">
    <w:altName w:val="sans-serif"/>
    <w:charset w:val="01"/>
    <w:family w:val="auto"/>
    <w:pitch w:val="default"/>
  </w:font>
  <w:font w:name="Outfit">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28173</Words>
  <Characters>156289</Characters>
  <CharactersWithSpaces>185586</CharactersWithSpaces>
  <Paragraphs>6616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