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0002D"/>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0002D"/>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2D"/>
        </w:rPr>
        <w:t>WASHINGTON, D.C. 20549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2D"/>
        </w:rPr>
        <w:t>FORM 10-Q</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00002D"/>
        </w:rPr>
        <w:t>(Mark One)</w:t>
      </w:r>
    </w:p>
    <w:p>
      <w:pPr>
        <w:spacing w:after="0" w:line="187" w:lineRule="exact"/>
        <w:rPr>
          <w:sz w:val="24"/>
          <w:szCs w:val="24"/>
          <w:color w:val="auto"/>
        </w:rPr>
      </w:pPr>
    </w:p>
    <w:p>
      <w:pPr>
        <w:ind w:left="1820" w:right="1340" w:hanging="800"/>
        <w:spacing w:after="0" w:line="281" w:lineRule="auto"/>
        <w:tabs>
          <w:tab w:leader="none" w:pos="1820" w:val="left"/>
        </w:tabs>
        <w:numPr>
          <w:ilvl w:val="0"/>
          <w:numId w:val="1"/>
        </w:numPr>
        <w:rPr>
          <w:rFonts w:ascii="MS PGothic" w:cs="MS PGothic" w:eastAsia="MS PGothic" w:hAnsi="MS PGothic"/>
          <w:sz w:val="18"/>
          <w:szCs w:val="18"/>
          <w:color w:val="auto"/>
          <w:shd w:val="clear" w:color="auto" w:fill="00002D"/>
        </w:rPr>
      </w:pPr>
      <w:r>
        <w:rPr>
          <w:rFonts w:ascii="Arial" w:cs="Arial" w:eastAsia="Arial" w:hAnsi="Arial"/>
          <w:sz w:val="18"/>
          <w:szCs w:val="18"/>
          <w:b w:val="1"/>
          <w:bCs w:val="1"/>
          <w:color w:val="00002D"/>
        </w:rPr>
        <w:t>QUARTERLY REPORT PURSUANT TO SECTION 13 OR 15(d) OF THE SECURITIES EXCHANGE ACT OF 1934</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00002D"/>
        </w:rPr>
        <w:t>For the quarterly period ended March 31, 2026</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0002D"/>
        </w:rPr>
        <w:t>OR</w:t>
      </w:r>
    </w:p>
    <w:p>
      <w:pPr>
        <w:spacing w:after="0" w:line="104" w:lineRule="exact"/>
        <w:rPr>
          <w:sz w:val="24"/>
          <w:szCs w:val="24"/>
          <w:color w:val="auto"/>
        </w:rPr>
      </w:pPr>
    </w:p>
    <w:p>
      <w:pPr>
        <w:ind w:left="1820" w:right="1360" w:hanging="800"/>
        <w:spacing w:after="0" w:line="260" w:lineRule="auto"/>
        <w:tabs>
          <w:tab w:leader="none" w:pos="1820" w:val="left"/>
        </w:tabs>
        <w:numPr>
          <w:ilvl w:val="0"/>
          <w:numId w:val="2"/>
        </w:numPr>
        <w:rPr>
          <w:rFonts w:ascii="MS PGothic" w:cs="MS PGothic" w:eastAsia="MS PGothic" w:hAnsi="MS PGothic"/>
          <w:sz w:val="18"/>
          <w:szCs w:val="18"/>
          <w:color w:val="auto"/>
          <w:shd w:val="clear" w:color="auto" w:fill="00002D"/>
        </w:rPr>
      </w:pPr>
      <w:r>
        <w:rPr>
          <w:rFonts w:ascii="Arial" w:cs="Arial" w:eastAsia="Arial" w:hAnsi="Arial"/>
          <w:sz w:val="18"/>
          <w:szCs w:val="18"/>
          <w:b w:val="1"/>
          <w:bCs w:val="1"/>
          <w:color w:val="00002D"/>
        </w:rPr>
        <w:t>TRANSITION REPORT PURSUANT TO SECTION 13 OR 15(d) OF THE SECURITIES EXCHANGE ACT OF 1934</w:t>
      </w:r>
    </w:p>
    <w:p>
      <w:pPr>
        <w:ind w:left="2500"/>
        <w:spacing w:after="0"/>
        <w:rPr>
          <w:rFonts w:ascii="MS PGothic" w:cs="MS PGothic" w:eastAsia="MS PGothic" w:hAnsi="MS PGothic"/>
          <w:sz w:val="18"/>
          <w:szCs w:val="18"/>
          <w:color w:val="auto"/>
          <w:shd w:val="clear" w:color="auto" w:fill="00002D"/>
        </w:rPr>
      </w:pPr>
      <w:r>
        <w:rPr>
          <w:rFonts w:ascii="Arial" w:cs="Arial" w:eastAsia="Arial" w:hAnsi="Arial"/>
          <w:sz w:val="18"/>
          <w:szCs w:val="18"/>
          <w:b w:val="1"/>
          <w:bCs w:val="1"/>
          <w:color w:val="00002D"/>
        </w:rPr>
        <w:t>For the transition period from _________________ to 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00002D"/>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20955</wp:posOffset>
            </wp:positionV>
            <wp:extent cx="162877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26543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00002D"/>
        </w:rPr>
        <w:t>CarGurus,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00002D"/>
        </w:rPr>
        <w:t>(Exact Name of Registrant as Specified in its Charter)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860" w:type="dxa"/>
            <w:vAlign w:val="bottom"/>
          </w:tcPr>
          <w:p>
            <w:pPr>
              <w:ind w:left="2420"/>
              <w:spacing w:after="0"/>
              <w:rPr>
                <w:sz w:val="20"/>
                <w:szCs w:val="20"/>
                <w:color w:val="auto"/>
              </w:rPr>
            </w:pPr>
            <w:r>
              <w:rPr>
                <w:rFonts w:ascii="Arial" w:cs="Arial" w:eastAsia="Arial" w:hAnsi="Arial"/>
                <w:sz w:val="18"/>
                <w:szCs w:val="18"/>
                <w:b w:val="1"/>
                <w:bCs w:val="1"/>
                <w:color w:val="00002D"/>
              </w:rPr>
              <w:t>Delaware</w:t>
            </w:r>
          </w:p>
        </w:tc>
        <w:tc>
          <w:tcPr>
            <w:tcW w:w="15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00002D"/>
              </w:rPr>
              <w:t>04-3843478</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8"/>
        </w:trPr>
        <w:tc>
          <w:tcPr>
            <w:tcW w:w="4860" w:type="dxa"/>
            <w:vAlign w:val="bottom"/>
          </w:tcPr>
          <w:p>
            <w:pPr>
              <w:ind w:left="960"/>
              <w:spacing w:after="0"/>
              <w:rPr>
                <w:sz w:val="20"/>
                <w:szCs w:val="20"/>
                <w:color w:val="auto"/>
              </w:rPr>
            </w:pPr>
            <w:r>
              <w:rPr>
                <w:rFonts w:ascii="Arial" w:cs="Arial" w:eastAsia="Arial" w:hAnsi="Arial"/>
                <w:sz w:val="14"/>
                <w:szCs w:val="14"/>
                <w:i w:val="1"/>
                <w:iCs w:val="1"/>
                <w:color w:val="00002D"/>
              </w:rPr>
              <w:t>(State or other jurisdiction of incorporation or organization)</w:t>
            </w:r>
          </w:p>
        </w:tc>
        <w:tc>
          <w:tcPr>
            <w:tcW w:w="1580" w:type="dxa"/>
            <w:vAlign w:val="bottom"/>
          </w:tcPr>
          <w:p>
            <w:pPr>
              <w:spacing w:after="0"/>
              <w:rPr>
                <w:sz w:val="16"/>
                <w:szCs w:val="16"/>
                <w:color w:val="auto"/>
              </w:rPr>
            </w:pPr>
          </w:p>
        </w:tc>
        <w:tc>
          <w:tcPr>
            <w:tcW w:w="3880" w:type="dxa"/>
            <w:vAlign w:val="bottom"/>
            <w:gridSpan w:val="2"/>
          </w:tcPr>
          <w:p>
            <w:pPr>
              <w:jc w:val="center"/>
              <w:ind w:left="22"/>
              <w:spacing w:after="0"/>
              <w:rPr>
                <w:sz w:val="20"/>
                <w:szCs w:val="20"/>
                <w:color w:val="auto"/>
              </w:rPr>
            </w:pPr>
            <w:r>
              <w:rPr>
                <w:rFonts w:ascii="Arial" w:cs="Arial" w:eastAsia="Arial" w:hAnsi="Arial"/>
                <w:sz w:val="14"/>
                <w:szCs w:val="14"/>
                <w:i w:val="1"/>
                <w:iCs w:val="1"/>
                <w:color w:val="00002D"/>
              </w:rPr>
              <w:t>(I.R.S. Employer Identification No.)</w:t>
            </w:r>
          </w:p>
        </w:tc>
        <w:tc>
          <w:tcPr>
            <w:tcW w:w="920" w:type="dxa"/>
            <w:vAlign w:val="bottom"/>
          </w:tcPr>
          <w:p>
            <w:pPr>
              <w:spacing w:after="0"/>
              <w:rPr>
                <w:sz w:val="16"/>
                <w:szCs w:val="16"/>
                <w:color w:val="auto"/>
              </w:rPr>
            </w:pPr>
          </w:p>
        </w:tc>
      </w:tr>
      <w:tr>
        <w:trPr>
          <w:trHeight w:val="230"/>
        </w:trPr>
        <w:tc>
          <w:tcPr>
            <w:tcW w:w="8940" w:type="dxa"/>
            <w:vAlign w:val="bottom"/>
            <w:gridSpan w:val="3"/>
          </w:tcPr>
          <w:p>
            <w:pPr>
              <w:jc w:val="center"/>
              <w:ind w:left="2244"/>
              <w:spacing w:after="0" w:line="230" w:lineRule="exact"/>
              <w:rPr>
                <w:sz w:val="20"/>
                <w:szCs w:val="20"/>
                <w:color w:val="auto"/>
              </w:rPr>
            </w:pPr>
            <w:r>
              <w:rPr>
                <w:rFonts w:ascii="Arial" w:cs="Arial" w:eastAsia="Arial" w:hAnsi="Arial"/>
                <w:sz w:val="18"/>
                <w:szCs w:val="18"/>
                <w:b w:val="1"/>
                <w:bCs w:val="1"/>
                <w:color w:val="00002D"/>
                <w:w w:val="99"/>
              </w:rPr>
              <w:t>1001 Boylston Street, 16</w:t>
            </w:r>
            <w:r>
              <w:rPr>
                <w:rFonts w:ascii="Arial" w:cs="Arial" w:eastAsia="Arial" w:hAnsi="Arial"/>
                <w:sz w:val="24"/>
                <w:szCs w:val="24"/>
                <w:b w:val="1"/>
                <w:bCs w:val="1"/>
                <w:color w:val="00002D"/>
                <w:w w:val="99"/>
                <w:vertAlign w:val="superscript"/>
              </w:rPr>
              <w:t>th</w:t>
            </w:r>
            <w:r>
              <w:rPr>
                <w:rFonts w:ascii="Arial" w:cs="Arial" w:eastAsia="Arial" w:hAnsi="Arial"/>
                <w:sz w:val="18"/>
                <w:szCs w:val="18"/>
                <w:b w:val="1"/>
                <w:bCs w:val="1"/>
                <w:color w:val="00002D"/>
                <w:w w:val="99"/>
              </w:rPr>
              <w:t xml:space="preserve"> Floor Boston, Massachusetts 02115</w:t>
            </w: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55"/>
        </w:trPr>
        <w:tc>
          <w:tcPr>
            <w:tcW w:w="8940" w:type="dxa"/>
            <w:vAlign w:val="bottom"/>
            <w:gridSpan w:val="3"/>
          </w:tcPr>
          <w:p>
            <w:pPr>
              <w:jc w:val="center"/>
              <w:ind w:left="2224"/>
              <w:spacing w:after="0" w:line="155" w:lineRule="exact"/>
              <w:rPr>
                <w:sz w:val="20"/>
                <w:szCs w:val="20"/>
                <w:color w:val="auto"/>
              </w:rPr>
            </w:pPr>
            <w:r>
              <w:rPr>
                <w:rFonts w:ascii="Arial" w:cs="Arial" w:eastAsia="Arial" w:hAnsi="Arial"/>
                <w:sz w:val="14"/>
                <w:szCs w:val="14"/>
                <w:i w:val="1"/>
                <w:iCs w:val="1"/>
                <w:color w:val="00002D"/>
              </w:rPr>
              <w:t>(Address of principal executive offices Zip Code)</w:t>
            </w:r>
          </w:p>
        </w:tc>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3"/>
        </w:trPr>
        <w:tc>
          <w:tcPr>
            <w:tcW w:w="48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00002D"/>
              </w:rPr>
              <w:t>(617) 354-0068</w:t>
            </w:r>
          </w:p>
        </w:tc>
        <w:tc>
          <w:tcPr>
            <w:tcW w:w="2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8"/>
        </w:trPr>
        <w:tc>
          <w:tcPr>
            <w:tcW w:w="8940" w:type="dxa"/>
            <w:vAlign w:val="bottom"/>
            <w:gridSpan w:val="3"/>
          </w:tcPr>
          <w:p>
            <w:pPr>
              <w:jc w:val="center"/>
              <w:ind w:left="2244"/>
              <w:spacing w:after="0"/>
              <w:rPr>
                <w:sz w:val="20"/>
                <w:szCs w:val="20"/>
                <w:color w:val="auto"/>
              </w:rPr>
            </w:pPr>
            <w:r>
              <w:rPr>
                <w:rFonts w:ascii="Arial" w:cs="Arial" w:eastAsia="Arial" w:hAnsi="Arial"/>
                <w:sz w:val="14"/>
                <w:szCs w:val="14"/>
                <w:i w:val="1"/>
                <w:iCs w:val="1"/>
                <w:color w:val="00002D"/>
              </w:rPr>
              <w:t>(Registrant’s telephone number, including area code)</w:t>
            </w: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2"/>
        </w:trPr>
        <w:tc>
          <w:tcPr>
            <w:tcW w:w="8940" w:type="dxa"/>
            <w:vAlign w:val="bottom"/>
            <w:gridSpan w:val="3"/>
          </w:tcPr>
          <w:p>
            <w:pPr>
              <w:ind w:left="3820"/>
              <w:spacing w:after="0"/>
              <w:rPr>
                <w:sz w:val="20"/>
                <w:szCs w:val="20"/>
                <w:color w:val="auto"/>
              </w:rPr>
            </w:pPr>
            <w:r>
              <w:rPr>
                <w:rFonts w:ascii="Arial" w:cs="Arial" w:eastAsia="Arial" w:hAnsi="Arial"/>
                <w:sz w:val="16"/>
                <w:szCs w:val="16"/>
                <w:color w:val="00002D"/>
              </w:rPr>
              <w:t>Securities registered pursuant to Section 12(b) of the Act:</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0"/>
        </w:trPr>
        <w:tc>
          <w:tcPr>
            <w:tcW w:w="4860" w:type="dxa"/>
            <w:vAlign w:val="bottom"/>
          </w:tcPr>
          <w:p>
            <w:pPr>
              <w:ind w:left="460"/>
              <w:spacing w:after="0"/>
              <w:rPr>
                <w:sz w:val="20"/>
                <w:szCs w:val="20"/>
                <w:color w:val="auto"/>
              </w:rPr>
            </w:pPr>
            <w:r>
              <w:rPr>
                <w:rFonts w:ascii="Arial" w:cs="Arial" w:eastAsia="Arial" w:hAnsi="Arial"/>
                <w:sz w:val="15"/>
                <w:szCs w:val="15"/>
                <w:b w:val="1"/>
                <w:bCs w:val="1"/>
                <w:color w:val="00002D"/>
              </w:rPr>
              <w:t>Class A Common Stock, par value $0.001 per share</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00002D"/>
              </w:rPr>
              <w:t>CARG</w:t>
            </w:r>
          </w:p>
        </w:tc>
        <w:tc>
          <w:tcPr>
            <w:tcW w:w="4800" w:type="dxa"/>
            <w:vAlign w:val="bottom"/>
            <w:gridSpan w:val="3"/>
          </w:tcPr>
          <w:p>
            <w:pPr>
              <w:jc w:val="center"/>
              <w:ind w:left="122"/>
              <w:spacing w:after="0"/>
              <w:rPr>
                <w:sz w:val="20"/>
                <w:szCs w:val="20"/>
                <w:color w:val="auto"/>
              </w:rPr>
            </w:pPr>
            <w:r>
              <w:rPr>
                <w:rFonts w:ascii="Arial" w:cs="Arial" w:eastAsia="Arial" w:hAnsi="Arial"/>
                <w:sz w:val="15"/>
                <w:szCs w:val="15"/>
                <w:b w:val="1"/>
                <w:bCs w:val="1"/>
                <w:color w:val="00002D"/>
              </w:rPr>
              <w:t>The Nasdaq Stock Market LLC (Nasdaq Global Select Market)</w:t>
            </w:r>
          </w:p>
        </w:tc>
      </w:tr>
      <w:tr>
        <w:trPr>
          <w:trHeight w:val="314"/>
        </w:trPr>
        <w:tc>
          <w:tcPr>
            <w:tcW w:w="4860" w:type="dxa"/>
            <w:vAlign w:val="bottom"/>
          </w:tcPr>
          <w:p>
            <w:pPr>
              <w:ind w:left="1720"/>
              <w:spacing w:after="0"/>
              <w:rPr>
                <w:sz w:val="20"/>
                <w:szCs w:val="20"/>
                <w:color w:val="auto"/>
              </w:rPr>
            </w:pPr>
            <w:r>
              <w:rPr>
                <w:rFonts w:ascii="Arial" w:cs="Arial" w:eastAsia="Arial" w:hAnsi="Arial"/>
                <w:sz w:val="14"/>
                <w:szCs w:val="14"/>
                <w:i w:val="1"/>
                <w:iCs w:val="1"/>
                <w:color w:val="00002D"/>
              </w:rPr>
              <w:t>Title of Each Class</w:t>
            </w:r>
          </w:p>
        </w:tc>
        <w:tc>
          <w:tcPr>
            <w:tcW w:w="1580" w:type="dxa"/>
            <w:vAlign w:val="bottom"/>
          </w:tcPr>
          <w:p>
            <w:pPr>
              <w:jc w:val="center"/>
              <w:spacing w:after="0"/>
              <w:rPr>
                <w:sz w:val="20"/>
                <w:szCs w:val="20"/>
                <w:color w:val="auto"/>
              </w:rPr>
            </w:pPr>
            <w:r>
              <w:rPr>
                <w:rFonts w:ascii="Arial" w:cs="Arial" w:eastAsia="Arial" w:hAnsi="Arial"/>
                <w:sz w:val="14"/>
                <w:szCs w:val="14"/>
                <w:i w:val="1"/>
                <w:iCs w:val="1"/>
                <w:color w:val="00002D"/>
              </w:rPr>
              <w:t>Trading Symbol</w:t>
            </w:r>
          </w:p>
        </w:tc>
        <w:tc>
          <w:tcPr>
            <w:tcW w:w="3880" w:type="dxa"/>
            <w:vAlign w:val="bottom"/>
            <w:gridSpan w:val="2"/>
          </w:tcPr>
          <w:p>
            <w:pPr>
              <w:jc w:val="center"/>
              <w:ind w:left="1042"/>
              <w:spacing w:after="0"/>
              <w:rPr>
                <w:sz w:val="20"/>
                <w:szCs w:val="20"/>
                <w:color w:val="auto"/>
              </w:rPr>
            </w:pPr>
            <w:r>
              <w:rPr>
                <w:rFonts w:ascii="Arial" w:cs="Arial" w:eastAsia="Arial" w:hAnsi="Arial"/>
                <w:sz w:val="14"/>
                <w:szCs w:val="14"/>
                <w:i w:val="1"/>
                <w:iCs w:val="1"/>
                <w:color w:val="00002D"/>
              </w:rPr>
              <w:t>Name of Exchange on Which Registered</w:t>
            </w:r>
          </w:p>
        </w:tc>
        <w:tc>
          <w:tcPr>
            <w:tcW w:w="920" w:type="dxa"/>
            <w:vAlign w:val="bottom"/>
          </w:tcPr>
          <w:p>
            <w:pPr>
              <w:spacing w:after="0"/>
              <w:rPr>
                <w:sz w:val="24"/>
                <w:szCs w:val="24"/>
                <w:color w:val="auto"/>
              </w:rPr>
            </w:pPr>
          </w:p>
        </w:tc>
      </w:tr>
      <w:tr>
        <w:trPr>
          <w:trHeight w:val="326"/>
        </w:trPr>
        <w:tc>
          <w:tcPr>
            <w:tcW w:w="4860" w:type="dxa"/>
            <w:vAlign w:val="bottom"/>
            <w:tcBorders>
              <w:bottom w:val="single" w:sz="8" w:color="3465B0"/>
            </w:tcBorders>
          </w:tcPr>
          <w:p>
            <w:pPr>
              <w:spacing w:after="0"/>
              <w:rPr>
                <w:sz w:val="20"/>
                <w:szCs w:val="20"/>
                <w:color w:val="auto"/>
              </w:rPr>
            </w:pPr>
            <w:r>
              <w:rPr>
                <w:rFonts w:ascii="Arial" w:cs="Arial" w:eastAsia="Arial" w:hAnsi="Arial"/>
                <w:sz w:val="18"/>
                <w:szCs w:val="18"/>
                <w:b w:val="1"/>
                <w:bCs w:val="1"/>
                <w:color w:val="auto"/>
              </w:rPr>
              <w:t>Indicate by check mark:</w:t>
            </w:r>
          </w:p>
        </w:tc>
        <w:tc>
          <w:tcPr>
            <w:tcW w:w="1580" w:type="dxa"/>
            <w:vAlign w:val="bottom"/>
            <w:tcBorders>
              <w:bottom w:val="single" w:sz="8" w:color="3465B0"/>
            </w:tcBorders>
          </w:tcPr>
          <w:p>
            <w:pPr>
              <w:spacing w:after="0"/>
              <w:rPr>
                <w:sz w:val="24"/>
                <w:szCs w:val="24"/>
                <w:color w:val="auto"/>
              </w:rPr>
            </w:pPr>
          </w:p>
        </w:tc>
        <w:tc>
          <w:tcPr>
            <w:tcW w:w="2500" w:type="dxa"/>
            <w:vAlign w:val="bottom"/>
            <w:tcBorders>
              <w:bottom w:val="single" w:sz="8" w:color="3465B0"/>
            </w:tcBorders>
          </w:tcPr>
          <w:p>
            <w:pPr>
              <w:spacing w:after="0"/>
              <w:rPr>
                <w:sz w:val="24"/>
                <w:szCs w:val="24"/>
                <w:color w:val="auto"/>
              </w:rPr>
            </w:pPr>
          </w:p>
        </w:tc>
        <w:tc>
          <w:tcPr>
            <w:tcW w:w="1380" w:type="dxa"/>
            <w:vAlign w:val="bottom"/>
            <w:tcBorders>
              <w:bottom w:val="single" w:sz="8" w:color="3465B0"/>
            </w:tcBorders>
          </w:tcPr>
          <w:p>
            <w:pPr>
              <w:jc w:val="center"/>
              <w:ind w:right="902"/>
              <w:spacing w:after="0"/>
              <w:rPr>
                <w:sz w:val="20"/>
                <w:szCs w:val="20"/>
                <w:color w:val="auto"/>
              </w:rPr>
            </w:pPr>
            <w:r>
              <w:rPr>
                <w:rFonts w:ascii="Arial" w:cs="Arial" w:eastAsia="Arial" w:hAnsi="Arial"/>
                <w:sz w:val="18"/>
                <w:szCs w:val="18"/>
                <w:b w:val="1"/>
                <w:bCs w:val="1"/>
                <w:color w:val="auto"/>
                <w:w w:val="99"/>
              </w:rPr>
              <w:t>Yes</w:t>
            </w:r>
          </w:p>
        </w:tc>
        <w:tc>
          <w:tcPr>
            <w:tcW w:w="920" w:type="dxa"/>
            <w:vAlign w:val="bottom"/>
            <w:tcBorders>
              <w:bottom w:val="single" w:sz="8" w:color="3465B0"/>
            </w:tcBorders>
          </w:tcPr>
          <w:p>
            <w:pPr>
              <w:jc w:val="center"/>
              <w:ind w:right="442"/>
              <w:spacing w:after="0"/>
              <w:rPr>
                <w:sz w:val="20"/>
                <w:szCs w:val="20"/>
                <w:color w:val="auto"/>
              </w:rPr>
            </w:pPr>
            <w:r>
              <w:rPr>
                <w:rFonts w:ascii="Arial" w:cs="Arial" w:eastAsia="Arial" w:hAnsi="Arial"/>
                <w:sz w:val="18"/>
                <w:szCs w:val="18"/>
                <w:b w:val="1"/>
                <w:bCs w:val="1"/>
                <w:color w:val="auto"/>
                <w:w w:val="99"/>
              </w:rPr>
              <w:t>No</w:t>
            </w:r>
          </w:p>
        </w:tc>
      </w:tr>
      <w:tr>
        <w:trPr>
          <w:trHeight w:val="153"/>
        </w:trPr>
        <w:tc>
          <w:tcPr>
            <w:tcW w:w="894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3465B0"/>
              </w:rPr>
              <w:t xml:space="preserve">• </w:t>
            </w:r>
            <w:r>
              <w:rPr>
                <w:rFonts w:ascii="Arial" w:cs="Arial" w:eastAsia="Arial" w:hAnsi="Arial"/>
                <w:sz w:val="14"/>
                <w:szCs w:val="14"/>
                <w:color w:val="00002D"/>
              </w:rPr>
              <w:t>whether the registrant (1) has filed all reports required to be filed by Section 13 or 15(d) of the Securities Exchange Act of 1934</w:t>
            </w:r>
          </w:p>
        </w:tc>
        <w:tc>
          <w:tcPr>
            <w:tcW w:w="1380" w:type="dxa"/>
            <w:vAlign w:val="bottom"/>
          </w:tcPr>
          <w:p>
            <w:pPr>
              <w:jc w:val="center"/>
              <w:ind w:right="902"/>
              <w:spacing w:after="0" w:line="141" w:lineRule="exact"/>
              <w:rPr>
                <w:sz w:val="20"/>
                <w:szCs w:val="20"/>
                <w:color w:val="auto"/>
              </w:rPr>
            </w:pPr>
            <w:r>
              <w:rPr>
                <w:rFonts w:ascii="MS PGothic" w:cs="MS PGothic" w:eastAsia="MS PGothic" w:hAnsi="MS PGothic"/>
                <w:sz w:val="14"/>
                <w:szCs w:val="14"/>
                <w:color w:val="00002D"/>
                <w:w w:val="85"/>
              </w:rPr>
              <w:t>☒</w:t>
            </w:r>
          </w:p>
        </w:tc>
        <w:tc>
          <w:tcPr>
            <w:tcW w:w="920" w:type="dxa"/>
            <w:vAlign w:val="bottom"/>
          </w:tcPr>
          <w:p>
            <w:pPr>
              <w:jc w:val="center"/>
              <w:ind w:right="462"/>
              <w:spacing w:after="0" w:line="141" w:lineRule="exact"/>
              <w:rPr>
                <w:sz w:val="20"/>
                <w:szCs w:val="20"/>
                <w:color w:val="auto"/>
              </w:rPr>
            </w:pPr>
            <w:r>
              <w:rPr>
                <w:rFonts w:ascii="MS PGothic" w:cs="MS PGothic" w:eastAsia="MS PGothic" w:hAnsi="MS PGothic"/>
                <w:sz w:val="14"/>
                <w:szCs w:val="14"/>
                <w:color w:val="00002D"/>
                <w:w w:val="99"/>
              </w:rPr>
              <w:t>☐</w:t>
            </w:r>
          </w:p>
        </w:tc>
      </w:tr>
      <w:tr>
        <w:trPr>
          <w:trHeight w:val="162"/>
        </w:trPr>
        <w:tc>
          <w:tcPr>
            <w:tcW w:w="8940" w:type="dxa"/>
            <w:vAlign w:val="bottom"/>
            <w:gridSpan w:val="3"/>
          </w:tcPr>
          <w:p>
            <w:pPr>
              <w:ind w:left="120"/>
              <w:spacing w:after="0"/>
              <w:rPr>
                <w:sz w:val="20"/>
                <w:szCs w:val="20"/>
                <w:color w:val="auto"/>
              </w:rPr>
            </w:pPr>
            <w:r>
              <w:rPr>
                <w:rFonts w:ascii="Arial" w:cs="Arial" w:eastAsia="Arial" w:hAnsi="Arial"/>
                <w:sz w:val="14"/>
                <w:szCs w:val="14"/>
                <w:color w:val="00002D"/>
              </w:rPr>
              <w:t>during the preceding 12 months (or for such shorter period that the registrant was required to file such reports), and (2) has</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860" w:type="dxa"/>
            <w:vAlign w:val="bottom"/>
            <w:tcBorders>
              <w:bottom w:val="single" w:sz="8" w:color="DAE1EB"/>
            </w:tcBorders>
          </w:tcPr>
          <w:p>
            <w:pPr>
              <w:ind w:left="120"/>
              <w:spacing w:after="0"/>
              <w:rPr>
                <w:sz w:val="20"/>
                <w:szCs w:val="20"/>
                <w:color w:val="auto"/>
              </w:rPr>
            </w:pPr>
            <w:r>
              <w:rPr>
                <w:rFonts w:ascii="Arial" w:cs="Arial" w:eastAsia="Arial" w:hAnsi="Arial"/>
                <w:sz w:val="14"/>
                <w:szCs w:val="14"/>
                <w:color w:val="00002D"/>
              </w:rPr>
              <w:t>been subject to such filing requirements for the past 90 days.</w:t>
            </w:r>
          </w:p>
        </w:tc>
        <w:tc>
          <w:tcPr>
            <w:tcW w:w="1580" w:type="dxa"/>
            <w:vAlign w:val="bottom"/>
            <w:tcBorders>
              <w:bottom w:val="single" w:sz="8" w:color="DAE1EB"/>
            </w:tcBorders>
          </w:tcPr>
          <w:p>
            <w:pPr>
              <w:spacing w:after="0"/>
              <w:rPr>
                <w:sz w:val="14"/>
                <w:szCs w:val="14"/>
                <w:color w:val="auto"/>
              </w:rPr>
            </w:pPr>
          </w:p>
        </w:tc>
        <w:tc>
          <w:tcPr>
            <w:tcW w:w="2500" w:type="dxa"/>
            <w:vAlign w:val="bottom"/>
            <w:tcBorders>
              <w:bottom w:val="single" w:sz="8" w:color="DAE1EB"/>
            </w:tcBorders>
          </w:tcPr>
          <w:p>
            <w:pPr>
              <w:spacing w:after="0"/>
              <w:rPr>
                <w:sz w:val="14"/>
                <w:szCs w:val="14"/>
                <w:color w:val="auto"/>
              </w:rPr>
            </w:pPr>
          </w:p>
        </w:tc>
        <w:tc>
          <w:tcPr>
            <w:tcW w:w="1380" w:type="dxa"/>
            <w:vAlign w:val="bottom"/>
            <w:tcBorders>
              <w:bottom w:val="single" w:sz="8" w:color="DAE1EB"/>
            </w:tcBorders>
          </w:tcPr>
          <w:p>
            <w:pPr>
              <w:spacing w:after="0"/>
              <w:rPr>
                <w:sz w:val="14"/>
                <w:szCs w:val="14"/>
                <w:color w:val="auto"/>
              </w:rPr>
            </w:pPr>
          </w:p>
        </w:tc>
        <w:tc>
          <w:tcPr>
            <w:tcW w:w="920" w:type="dxa"/>
            <w:vAlign w:val="bottom"/>
            <w:tcBorders>
              <w:bottom w:val="single" w:sz="8" w:color="DAE1EB"/>
            </w:tcBorders>
          </w:tcPr>
          <w:p>
            <w:pPr>
              <w:spacing w:after="0"/>
              <w:rPr>
                <w:sz w:val="14"/>
                <w:szCs w:val="14"/>
                <w:color w:val="auto"/>
              </w:rPr>
            </w:pPr>
          </w:p>
        </w:tc>
      </w:tr>
      <w:tr>
        <w:trPr>
          <w:trHeight w:val="146"/>
        </w:trPr>
        <w:tc>
          <w:tcPr>
            <w:tcW w:w="89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3465B0"/>
              </w:rPr>
              <w:t xml:space="preserve">• </w:t>
            </w:r>
            <w:r>
              <w:rPr>
                <w:rFonts w:ascii="Arial" w:cs="Arial" w:eastAsia="Arial" w:hAnsi="Arial"/>
                <w:sz w:val="14"/>
                <w:szCs w:val="14"/>
                <w:color w:val="00002D"/>
              </w:rPr>
              <w:t>whether the registrant has submitted electronically every Interactive Data File required to be submitted pursuant to Rule 405 of</w:t>
            </w:r>
          </w:p>
        </w:tc>
        <w:tc>
          <w:tcPr>
            <w:tcW w:w="1380" w:type="dxa"/>
            <w:vAlign w:val="bottom"/>
          </w:tcPr>
          <w:p>
            <w:pPr>
              <w:jc w:val="center"/>
              <w:ind w:right="902"/>
              <w:spacing w:after="0" w:line="141" w:lineRule="exact"/>
              <w:rPr>
                <w:sz w:val="20"/>
                <w:szCs w:val="20"/>
                <w:color w:val="auto"/>
              </w:rPr>
            </w:pPr>
            <w:r>
              <w:rPr>
                <w:rFonts w:ascii="MS PGothic" w:cs="MS PGothic" w:eastAsia="MS PGothic" w:hAnsi="MS PGothic"/>
                <w:sz w:val="14"/>
                <w:szCs w:val="14"/>
                <w:color w:val="00002D"/>
                <w:w w:val="85"/>
              </w:rPr>
              <w:t>☒</w:t>
            </w:r>
          </w:p>
        </w:tc>
        <w:tc>
          <w:tcPr>
            <w:tcW w:w="920" w:type="dxa"/>
            <w:vAlign w:val="bottom"/>
          </w:tcPr>
          <w:p>
            <w:pPr>
              <w:jc w:val="center"/>
              <w:ind w:right="462"/>
              <w:spacing w:after="0" w:line="141" w:lineRule="exact"/>
              <w:rPr>
                <w:sz w:val="20"/>
                <w:szCs w:val="20"/>
                <w:color w:val="auto"/>
              </w:rPr>
            </w:pPr>
            <w:r>
              <w:rPr>
                <w:rFonts w:ascii="MS PGothic" w:cs="MS PGothic" w:eastAsia="MS PGothic" w:hAnsi="MS PGothic"/>
                <w:sz w:val="14"/>
                <w:szCs w:val="14"/>
                <w:color w:val="00002D"/>
                <w:w w:val="99"/>
              </w:rPr>
              <w:t>☐</w:t>
            </w:r>
          </w:p>
        </w:tc>
      </w:tr>
      <w:tr>
        <w:trPr>
          <w:trHeight w:val="162"/>
        </w:trPr>
        <w:tc>
          <w:tcPr>
            <w:tcW w:w="8940" w:type="dxa"/>
            <w:vAlign w:val="bottom"/>
            <w:gridSpan w:val="3"/>
          </w:tcPr>
          <w:p>
            <w:pPr>
              <w:ind w:left="120"/>
              <w:spacing w:after="0"/>
              <w:rPr>
                <w:sz w:val="20"/>
                <w:szCs w:val="20"/>
                <w:color w:val="auto"/>
              </w:rPr>
            </w:pPr>
            <w:r>
              <w:rPr>
                <w:rFonts w:ascii="Arial" w:cs="Arial" w:eastAsia="Arial" w:hAnsi="Arial"/>
                <w:sz w:val="14"/>
                <w:szCs w:val="14"/>
                <w:color w:val="00002D"/>
              </w:rPr>
              <w:t>Regulation S-T (§ 232.405 of this chapter) during the preceding 12 months (or for such shorter period that the registrant was</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4860" w:type="dxa"/>
            <w:vAlign w:val="bottom"/>
          </w:tcPr>
          <w:p>
            <w:pPr>
              <w:ind w:left="120"/>
              <w:spacing w:after="0"/>
              <w:rPr>
                <w:sz w:val="20"/>
                <w:szCs w:val="20"/>
                <w:color w:val="auto"/>
              </w:rPr>
            </w:pPr>
            <w:r>
              <w:rPr>
                <w:rFonts w:ascii="Arial" w:cs="Arial" w:eastAsia="Arial" w:hAnsi="Arial"/>
                <w:sz w:val="14"/>
                <w:szCs w:val="14"/>
                <w:color w:val="00002D"/>
              </w:rPr>
              <w:t>required to submit such files).</w:t>
            </w:r>
          </w:p>
        </w:tc>
        <w:tc>
          <w:tcPr>
            <w:tcW w:w="1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20" w:right="3060" w:hanging="112"/>
        <w:spacing w:after="0" w:line="252" w:lineRule="auto"/>
        <w:tabs>
          <w:tab w:leader="none" w:pos="120" w:val="left"/>
        </w:tabs>
        <w:numPr>
          <w:ilvl w:val="0"/>
          <w:numId w:val="3"/>
        </w:numPr>
        <w:rPr>
          <w:rFonts w:ascii="Times New Roman" w:cs="Times New Roman" w:eastAsia="Times New Roman" w:hAnsi="Times New Roman"/>
          <w:sz w:val="14"/>
          <w:szCs w:val="14"/>
          <w:color w:val="3465B0"/>
        </w:rPr>
      </w:pPr>
      <w:r>
        <w:rPr>
          <w:rFonts w:ascii="Arial" w:cs="Arial" w:eastAsia="Arial" w:hAnsi="Arial"/>
          <w:sz w:val="14"/>
          <w:szCs w:val="14"/>
          <w:color w:val="00002D"/>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80" w:type="dxa"/>
            <w:vAlign w:val="bottom"/>
          </w:tcPr>
          <w:p>
            <w:pPr>
              <w:spacing w:after="0"/>
              <w:rPr>
                <w:sz w:val="21"/>
                <w:szCs w:val="21"/>
                <w:color w:val="auto"/>
              </w:rPr>
            </w:pPr>
          </w:p>
        </w:tc>
        <w:tc>
          <w:tcPr>
            <w:tcW w:w="1780" w:type="dxa"/>
            <w:vAlign w:val="bottom"/>
          </w:tcPr>
          <w:p>
            <w:pPr>
              <w:ind w:left="180"/>
              <w:spacing w:after="0"/>
              <w:rPr>
                <w:sz w:val="20"/>
                <w:szCs w:val="20"/>
                <w:color w:val="auto"/>
              </w:rPr>
            </w:pPr>
            <w:r>
              <w:rPr>
                <w:rFonts w:ascii="Arial" w:cs="Arial" w:eastAsia="Arial" w:hAnsi="Arial"/>
                <w:sz w:val="14"/>
                <w:szCs w:val="14"/>
                <w:color w:val="00002D"/>
              </w:rPr>
              <w:t>Large accelerated filer</w:t>
            </w:r>
          </w:p>
        </w:tc>
        <w:tc>
          <w:tcPr>
            <w:tcW w:w="520" w:type="dxa"/>
            <w:vAlign w:val="bottom"/>
          </w:tcPr>
          <w:p>
            <w:pPr>
              <w:ind w:left="160"/>
              <w:spacing w:after="0" w:line="141" w:lineRule="exact"/>
              <w:rPr>
                <w:sz w:val="20"/>
                <w:szCs w:val="20"/>
                <w:color w:val="auto"/>
              </w:rPr>
            </w:pPr>
            <w:r>
              <w:rPr>
                <w:rFonts w:ascii="MS PGothic" w:cs="MS PGothic" w:eastAsia="MS PGothic" w:hAnsi="MS PGothic"/>
                <w:sz w:val="14"/>
                <w:szCs w:val="14"/>
                <w:color w:val="00002D"/>
              </w:rPr>
              <w:t>☒</w:t>
            </w:r>
          </w:p>
        </w:tc>
        <w:tc>
          <w:tcPr>
            <w:tcW w:w="1460" w:type="dxa"/>
            <w:vAlign w:val="bottom"/>
          </w:tcPr>
          <w:p>
            <w:pPr>
              <w:ind w:left="220"/>
              <w:spacing w:after="0"/>
              <w:rPr>
                <w:sz w:val="20"/>
                <w:szCs w:val="20"/>
                <w:color w:val="auto"/>
              </w:rPr>
            </w:pPr>
            <w:r>
              <w:rPr>
                <w:rFonts w:ascii="Arial" w:cs="Arial" w:eastAsia="Arial" w:hAnsi="Arial"/>
                <w:sz w:val="14"/>
                <w:szCs w:val="14"/>
                <w:color w:val="00002D"/>
              </w:rPr>
              <w:t>Accelerated filer</w:t>
            </w:r>
          </w:p>
        </w:tc>
        <w:tc>
          <w:tcPr>
            <w:tcW w:w="520" w:type="dxa"/>
            <w:vAlign w:val="bottom"/>
          </w:tcPr>
          <w:p>
            <w:pPr>
              <w:ind w:left="220"/>
              <w:spacing w:after="0" w:line="141" w:lineRule="exact"/>
              <w:rPr>
                <w:sz w:val="20"/>
                <w:szCs w:val="20"/>
                <w:color w:val="auto"/>
              </w:rPr>
            </w:pPr>
            <w:r>
              <w:rPr>
                <w:rFonts w:ascii="MS PGothic" w:cs="MS PGothic" w:eastAsia="MS PGothic" w:hAnsi="MS PGothic"/>
                <w:sz w:val="14"/>
                <w:szCs w:val="14"/>
                <w:color w:val="00002D"/>
              </w:rPr>
              <w:t>☐</w:t>
            </w:r>
          </w:p>
        </w:tc>
        <w:tc>
          <w:tcPr>
            <w:tcW w:w="1660" w:type="dxa"/>
            <w:vAlign w:val="bottom"/>
          </w:tcPr>
          <w:p>
            <w:pPr>
              <w:ind w:left="160"/>
              <w:spacing w:after="0"/>
              <w:rPr>
                <w:sz w:val="20"/>
                <w:szCs w:val="20"/>
                <w:color w:val="auto"/>
              </w:rPr>
            </w:pPr>
            <w:r>
              <w:rPr>
                <w:rFonts w:ascii="Arial" w:cs="Arial" w:eastAsia="Arial" w:hAnsi="Arial"/>
                <w:sz w:val="14"/>
                <w:szCs w:val="14"/>
                <w:color w:val="00002D"/>
              </w:rPr>
              <w:t>Non-accelerated filer</w:t>
            </w:r>
          </w:p>
        </w:tc>
        <w:tc>
          <w:tcPr>
            <w:tcW w:w="500" w:type="dxa"/>
            <w:vAlign w:val="bottom"/>
          </w:tcPr>
          <w:p>
            <w:pPr>
              <w:ind w:left="180"/>
              <w:spacing w:after="0" w:line="141" w:lineRule="exact"/>
              <w:rPr>
                <w:sz w:val="20"/>
                <w:szCs w:val="20"/>
                <w:color w:val="auto"/>
              </w:rPr>
            </w:pPr>
            <w:r>
              <w:rPr>
                <w:rFonts w:ascii="MS PGothic" w:cs="MS PGothic" w:eastAsia="MS PGothic" w:hAnsi="MS PGothic"/>
                <w:sz w:val="14"/>
                <w:szCs w:val="14"/>
                <w:color w:val="00002D"/>
              </w:rPr>
              <w:t>☐</w:t>
            </w:r>
          </w:p>
        </w:tc>
        <w:tc>
          <w:tcPr>
            <w:tcW w:w="1840" w:type="dxa"/>
            <w:vAlign w:val="bottom"/>
          </w:tcPr>
          <w:p>
            <w:pPr>
              <w:ind w:left="180"/>
              <w:spacing w:after="0"/>
              <w:rPr>
                <w:sz w:val="20"/>
                <w:szCs w:val="20"/>
                <w:color w:val="auto"/>
              </w:rPr>
            </w:pPr>
            <w:r>
              <w:rPr>
                <w:rFonts w:ascii="Arial" w:cs="Arial" w:eastAsia="Arial" w:hAnsi="Arial"/>
                <w:sz w:val="14"/>
                <w:szCs w:val="14"/>
                <w:color w:val="00002D"/>
              </w:rPr>
              <w:t>Small reporting company</w:t>
            </w:r>
          </w:p>
        </w:tc>
        <w:tc>
          <w:tcPr>
            <w:tcW w:w="2460" w:type="dxa"/>
            <w:vAlign w:val="bottom"/>
            <w:gridSpan w:val="2"/>
          </w:tcPr>
          <w:p>
            <w:pPr>
              <w:ind w:left="300"/>
              <w:spacing w:after="0" w:line="161" w:lineRule="exact"/>
              <w:rPr>
                <w:sz w:val="20"/>
                <w:szCs w:val="20"/>
                <w:color w:val="auto"/>
              </w:rPr>
            </w:pPr>
            <w:r>
              <w:rPr>
                <w:rFonts w:ascii="MS PGothic" w:cs="MS PGothic" w:eastAsia="MS PGothic" w:hAnsi="MS PGothic"/>
                <w:sz w:val="14"/>
                <w:szCs w:val="14"/>
                <w:color w:val="00002D"/>
              </w:rPr>
              <w:t>☐</w:t>
            </w:r>
            <w:r>
              <w:rPr>
                <w:rFonts w:ascii="Arial" w:cs="Arial" w:eastAsia="Arial" w:hAnsi="Arial"/>
                <w:sz w:val="14"/>
                <w:szCs w:val="14"/>
                <w:color w:val="00002D"/>
              </w:rPr>
              <w:t xml:space="preserve">  Emerging growth company</w:t>
            </w:r>
          </w:p>
        </w:tc>
        <w:tc>
          <w:tcPr>
            <w:tcW w:w="420" w:type="dxa"/>
            <w:vAlign w:val="bottom"/>
          </w:tcPr>
          <w:p>
            <w:pPr>
              <w:ind w:left="120"/>
              <w:spacing w:after="0" w:line="141" w:lineRule="exact"/>
              <w:rPr>
                <w:sz w:val="20"/>
                <w:szCs w:val="20"/>
                <w:color w:val="auto"/>
              </w:rPr>
            </w:pPr>
            <w:r>
              <w:rPr>
                <w:rFonts w:ascii="MS PGothic" w:cs="MS PGothic" w:eastAsia="MS PGothic" w:hAnsi="MS PGothic"/>
                <w:sz w:val="14"/>
                <w:szCs w:val="14"/>
                <w:color w:val="00002D"/>
              </w:rPr>
              <w:t>☐</w:t>
            </w:r>
          </w:p>
        </w:tc>
      </w:tr>
      <w:tr>
        <w:trPr>
          <w:trHeight w:val="123"/>
        </w:trPr>
        <w:tc>
          <w:tcPr>
            <w:tcW w:w="80" w:type="dxa"/>
            <w:vAlign w:val="bottom"/>
            <w:tcBorders>
              <w:bottom w:val="single" w:sz="8" w:color="DAE1EB"/>
            </w:tcBorders>
          </w:tcPr>
          <w:p>
            <w:pPr>
              <w:spacing w:after="0"/>
              <w:rPr>
                <w:sz w:val="10"/>
                <w:szCs w:val="10"/>
                <w:color w:val="auto"/>
              </w:rPr>
            </w:pPr>
          </w:p>
        </w:tc>
        <w:tc>
          <w:tcPr>
            <w:tcW w:w="8280" w:type="dxa"/>
            <w:vAlign w:val="bottom"/>
            <w:tcBorders>
              <w:bottom w:val="single" w:sz="8" w:color="DAE1EB"/>
            </w:tcBorders>
            <w:gridSpan w:val="7"/>
          </w:tcPr>
          <w:p>
            <w:pPr>
              <w:spacing w:after="0"/>
              <w:rPr>
                <w:sz w:val="10"/>
                <w:szCs w:val="10"/>
                <w:color w:val="auto"/>
              </w:rPr>
            </w:pPr>
          </w:p>
        </w:tc>
        <w:tc>
          <w:tcPr>
            <w:tcW w:w="1220" w:type="dxa"/>
            <w:vAlign w:val="bottom"/>
            <w:tcBorders>
              <w:bottom w:val="single" w:sz="8" w:color="DAE1EB"/>
            </w:tcBorders>
          </w:tcPr>
          <w:p>
            <w:pPr>
              <w:spacing w:after="0"/>
              <w:rPr>
                <w:sz w:val="10"/>
                <w:szCs w:val="10"/>
                <w:color w:val="auto"/>
              </w:rPr>
            </w:pPr>
          </w:p>
        </w:tc>
        <w:tc>
          <w:tcPr>
            <w:tcW w:w="1240" w:type="dxa"/>
            <w:vAlign w:val="bottom"/>
            <w:tcBorders>
              <w:bottom w:val="single" w:sz="8" w:color="DAE1EB"/>
            </w:tcBorders>
          </w:tcPr>
          <w:p>
            <w:pPr>
              <w:spacing w:after="0"/>
              <w:rPr>
                <w:sz w:val="10"/>
                <w:szCs w:val="10"/>
                <w:color w:val="auto"/>
              </w:rPr>
            </w:pPr>
          </w:p>
        </w:tc>
        <w:tc>
          <w:tcPr>
            <w:tcW w:w="420" w:type="dxa"/>
            <w:vAlign w:val="bottom"/>
            <w:tcBorders>
              <w:bottom w:val="single" w:sz="8" w:color="DAE1EB"/>
            </w:tcBorders>
          </w:tcPr>
          <w:p>
            <w:pPr>
              <w:spacing w:after="0"/>
              <w:rPr>
                <w:sz w:val="10"/>
                <w:szCs w:val="10"/>
                <w:color w:val="auto"/>
              </w:rPr>
            </w:pPr>
          </w:p>
        </w:tc>
      </w:tr>
      <w:tr>
        <w:trPr>
          <w:trHeight w:val="146"/>
        </w:trPr>
        <w:tc>
          <w:tcPr>
            <w:tcW w:w="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3465B0"/>
              </w:rPr>
              <w:t>•</w:t>
            </w:r>
          </w:p>
        </w:tc>
        <w:tc>
          <w:tcPr>
            <w:tcW w:w="8280" w:type="dxa"/>
            <w:vAlign w:val="bottom"/>
            <w:gridSpan w:val="7"/>
          </w:tcPr>
          <w:p>
            <w:pPr>
              <w:ind w:left="40"/>
              <w:spacing w:after="0" w:line="147" w:lineRule="exact"/>
              <w:rPr>
                <w:sz w:val="20"/>
                <w:szCs w:val="20"/>
                <w:color w:val="auto"/>
              </w:rPr>
            </w:pPr>
            <w:r>
              <w:rPr>
                <w:rFonts w:ascii="Arial" w:cs="Arial" w:eastAsia="Arial" w:hAnsi="Arial"/>
                <w:sz w:val="14"/>
                <w:szCs w:val="14"/>
                <w:color w:val="00002D"/>
              </w:rPr>
              <w:t>If an emerging growth company, indicate by check mark if the registrant has elected not to use the extended transition period for</w:t>
            </w:r>
          </w:p>
        </w:tc>
        <w:tc>
          <w:tcPr>
            <w:tcW w:w="1220" w:type="dxa"/>
            <w:vAlign w:val="bottom"/>
          </w:tcPr>
          <w:p>
            <w:pPr>
              <w:spacing w:after="0"/>
              <w:rPr>
                <w:sz w:val="12"/>
                <w:szCs w:val="12"/>
                <w:color w:val="auto"/>
              </w:rPr>
            </w:pPr>
          </w:p>
        </w:tc>
        <w:tc>
          <w:tcPr>
            <w:tcW w:w="1240" w:type="dxa"/>
            <w:vAlign w:val="bottom"/>
          </w:tcPr>
          <w:p>
            <w:pPr>
              <w:ind w:left="380"/>
              <w:spacing w:after="0" w:line="141" w:lineRule="exact"/>
              <w:rPr>
                <w:sz w:val="20"/>
                <w:szCs w:val="20"/>
                <w:color w:val="auto"/>
              </w:rPr>
            </w:pPr>
            <w:r>
              <w:rPr>
                <w:rFonts w:ascii="MS PGothic" w:cs="MS PGothic" w:eastAsia="MS PGothic" w:hAnsi="MS PGothic"/>
                <w:sz w:val="14"/>
                <w:szCs w:val="14"/>
                <w:color w:val="00002D"/>
              </w:rPr>
              <w:t>☐</w:t>
            </w:r>
          </w:p>
        </w:tc>
        <w:tc>
          <w:tcPr>
            <w:tcW w:w="420" w:type="dxa"/>
            <w:vAlign w:val="bottom"/>
          </w:tcPr>
          <w:p>
            <w:pPr>
              <w:spacing w:after="0"/>
              <w:rPr>
                <w:sz w:val="12"/>
                <w:szCs w:val="12"/>
                <w:color w:val="auto"/>
              </w:rPr>
            </w:pPr>
          </w:p>
        </w:tc>
      </w:tr>
      <w:tr>
        <w:trPr>
          <w:trHeight w:val="178"/>
        </w:trPr>
        <w:tc>
          <w:tcPr>
            <w:tcW w:w="80" w:type="dxa"/>
            <w:vAlign w:val="bottom"/>
            <w:tcBorders>
              <w:bottom w:val="single" w:sz="8" w:color="DAE1EB"/>
            </w:tcBorders>
          </w:tcPr>
          <w:p>
            <w:pPr>
              <w:spacing w:after="0"/>
              <w:rPr>
                <w:sz w:val="15"/>
                <w:szCs w:val="15"/>
                <w:color w:val="auto"/>
              </w:rPr>
            </w:pPr>
          </w:p>
        </w:tc>
        <w:tc>
          <w:tcPr>
            <w:tcW w:w="8280" w:type="dxa"/>
            <w:vAlign w:val="bottom"/>
            <w:tcBorders>
              <w:bottom w:val="single" w:sz="8" w:color="DAE1EB"/>
            </w:tcBorders>
            <w:gridSpan w:val="7"/>
          </w:tcPr>
          <w:p>
            <w:pPr>
              <w:ind w:left="40"/>
              <w:spacing w:after="0"/>
              <w:rPr>
                <w:sz w:val="20"/>
                <w:szCs w:val="20"/>
                <w:color w:val="auto"/>
              </w:rPr>
            </w:pPr>
            <w:r>
              <w:rPr>
                <w:rFonts w:ascii="Arial" w:cs="Arial" w:eastAsia="Arial" w:hAnsi="Arial"/>
                <w:sz w:val="14"/>
                <w:szCs w:val="14"/>
                <w:color w:val="00002D"/>
              </w:rPr>
              <w:t>complying with any new or revised financial accounting standards provided pursuant to Section 13(a) of the Exchange Act.</w:t>
            </w:r>
          </w:p>
        </w:tc>
        <w:tc>
          <w:tcPr>
            <w:tcW w:w="1220" w:type="dxa"/>
            <w:vAlign w:val="bottom"/>
            <w:tcBorders>
              <w:bottom w:val="single" w:sz="8" w:color="DAE1EB"/>
            </w:tcBorders>
          </w:tcPr>
          <w:p>
            <w:pPr>
              <w:spacing w:after="0"/>
              <w:rPr>
                <w:sz w:val="15"/>
                <w:szCs w:val="15"/>
                <w:color w:val="auto"/>
              </w:rPr>
            </w:pPr>
          </w:p>
        </w:tc>
        <w:tc>
          <w:tcPr>
            <w:tcW w:w="1240" w:type="dxa"/>
            <w:vAlign w:val="bottom"/>
            <w:tcBorders>
              <w:bottom w:val="single" w:sz="8" w:color="DAE1EB"/>
            </w:tcBorders>
          </w:tcPr>
          <w:p>
            <w:pPr>
              <w:spacing w:after="0"/>
              <w:rPr>
                <w:sz w:val="15"/>
                <w:szCs w:val="15"/>
                <w:color w:val="auto"/>
              </w:rPr>
            </w:pPr>
          </w:p>
        </w:tc>
        <w:tc>
          <w:tcPr>
            <w:tcW w:w="420" w:type="dxa"/>
            <w:vAlign w:val="bottom"/>
            <w:tcBorders>
              <w:bottom w:val="single" w:sz="8" w:color="DAE1EB"/>
            </w:tcBorders>
          </w:tcPr>
          <w:p>
            <w:pPr>
              <w:spacing w:after="0"/>
              <w:rPr>
                <w:sz w:val="15"/>
                <w:szCs w:val="15"/>
                <w:color w:val="auto"/>
              </w:rPr>
            </w:pPr>
          </w:p>
        </w:tc>
      </w:tr>
      <w:tr>
        <w:trPr>
          <w:trHeight w:val="169"/>
        </w:trPr>
        <w:tc>
          <w:tcPr>
            <w:tcW w:w="80" w:type="dxa"/>
            <w:vAlign w:val="bottom"/>
            <w:tcBorders>
              <w:bottom w:val="single" w:sz="8" w:color="3465B0"/>
            </w:tcBorders>
          </w:tcPr>
          <w:p>
            <w:pPr>
              <w:spacing w:after="0"/>
              <w:rPr>
                <w:sz w:val="20"/>
                <w:szCs w:val="20"/>
                <w:color w:val="auto"/>
              </w:rPr>
            </w:pPr>
            <w:r>
              <w:rPr>
                <w:rFonts w:ascii="Times New Roman" w:cs="Times New Roman" w:eastAsia="Times New Roman" w:hAnsi="Times New Roman"/>
                <w:sz w:val="14"/>
                <w:szCs w:val="14"/>
                <w:color w:val="3465B0"/>
              </w:rPr>
              <w:t>•</w:t>
            </w:r>
          </w:p>
        </w:tc>
        <w:tc>
          <w:tcPr>
            <w:tcW w:w="5940" w:type="dxa"/>
            <w:vAlign w:val="bottom"/>
            <w:tcBorders>
              <w:bottom w:val="single" w:sz="8" w:color="3465B0"/>
            </w:tcBorders>
            <w:gridSpan w:val="5"/>
          </w:tcPr>
          <w:p>
            <w:pPr>
              <w:ind w:left="40"/>
              <w:spacing w:after="0"/>
              <w:rPr>
                <w:sz w:val="20"/>
                <w:szCs w:val="20"/>
                <w:color w:val="auto"/>
              </w:rPr>
            </w:pPr>
            <w:r>
              <w:rPr>
                <w:rFonts w:ascii="Arial" w:cs="Arial" w:eastAsia="Arial" w:hAnsi="Arial"/>
                <w:sz w:val="14"/>
                <w:szCs w:val="14"/>
                <w:color w:val="00002D"/>
              </w:rPr>
              <w:t>whether the registrant is a shell company (as defined in Rule 12b-2 of the Exchange Act).</w:t>
            </w:r>
          </w:p>
        </w:tc>
        <w:tc>
          <w:tcPr>
            <w:tcW w:w="500" w:type="dxa"/>
            <w:vAlign w:val="bottom"/>
            <w:tcBorders>
              <w:bottom w:val="single" w:sz="8" w:color="3465B0"/>
            </w:tcBorders>
          </w:tcPr>
          <w:p>
            <w:pPr>
              <w:spacing w:after="0"/>
              <w:rPr>
                <w:sz w:val="14"/>
                <w:szCs w:val="14"/>
                <w:color w:val="auto"/>
              </w:rPr>
            </w:pPr>
          </w:p>
        </w:tc>
        <w:tc>
          <w:tcPr>
            <w:tcW w:w="1840" w:type="dxa"/>
            <w:vAlign w:val="bottom"/>
            <w:tcBorders>
              <w:bottom w:val="single" w:sz="8" w:color="3465B0"/>
            </w:tcBorders>
          </w:tcPr>
          <w:p>
            <w:pPr>
              <w:spacing w:after="0"/>
              <w:rPr>
                <w:sz w:val="14"/>
                <w:szCs w:val="14"/>
                <w:color w:val="auto"/>
              </w:rPr>
            </w:pPr>
          </w:p>
        </w:tc>
        <w:tc>
          <w:tcPr>
            <w:tcW w:w="1220" w:type="dxa"/>
            <w:vAlign w:val="bottom"/>
            <w:tcBorders>
              <w:bottom w:val="single" w:sz="8" w:color="3465B0"/>
            </w:tcBorders>
          </w:tcPr>
          <w:p>
            <w:pPr>
              <w:ind w:left="720"/>
              <w:spacing w:after="0" w:line="141" w:lineRule="exact"/>
              <w:rPr>
                <w:sz w:val="20"/>
                <w:szCs w:val="20"/>
                <w:color w:val="auto"/>
              </w:rPr>
            </w:pPr>
            <w:r>
              <w:rPr>
                <w:rFonts w:ascii="MS PGothic" w:cs="MS PGothic" w:eastAsia="MS PGothic" w:hAnsi="MS PGothic"/>
                <w:sz w:val="14"/>
                <w:szCs w:val="14"/>
                <w:color w:val="00002D"/>
              </w:rPr>
              <w:t>☐</w:t>
            </w:r>
          </w:p>
        </w:tc>
        <w:tc>
          <w:tcPr>
            <w:tcW w:w="1240" w:type="dxa"/>
            <w:vAlign w:val="bottom"/>
            <w:tcBorders>
              <w:bottom w:val="single" w:sz="8" w:color="3465B0"/>
            </w:tcBorders>
          </w:tcPr>
          <w:p>
            <w:pPr>
              <w:ind w:left="860"/>
              <w:spacing w:after="0" w:line="141" w:lineRule="exact"/>
              <w:rPr>
                <w:sz w:val="20"/>
                <w:szCs w:val="20"/>
                <w:color w:val="auto"/>
              </w:rPr>
            </w:pPr>
            <w:r>
              <w:rPr>
                <w:rFonts w:ascii="MS PGothic" w:cs="MS PGothic" w:eastAsia="MS PGothic" w:hAnsi="MS PGothic"/>
                <w:sz w:val="14"/>
                <w:szCs w:val="14"/>
                <w:color w:val="00002D"/>
              </w:rPr>
              <w:t>☒</w:t>
            </w:r>
          </w:p>
        </w:tc>
        <w:tc>
          <w:tcPr>
            <w:tcW w:w="420" w:type="dxa"/>
            <w:vAlign w:val="bottom"/>
            <w:tcBorders>
              <w:bottom w:val="single" w:sz="8" w:color="3465B0"/>
            </w:tcBorders>
          </w:tcPr>
          <w:p>
            <w:pPr>
              <w:spacing w:after="0"/>
              <w:rPr>
                <w:sz w:val="14"/>
                <w:szCs w:val="14"/>
                <w:color w:val="auto"/>
              </w:rPr>
            </w:pPr>
          </w:p>
        </w:tc>
      </w:tr>
    </w:tbl>
    <w:p>
      <w:pPr>
        <w:spacing w:after="0" w:line="153"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00002D"/>
        </w:rPr>
        <w:t>As of April 30, 2026, the registrant had 75,970,848 shares of Class A common stock, $0.001 par value per share, and 14,216,250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6"/>
          <w:szCs w:val="36"/>
          <w:b w:val="1"/>
          <w:bCs w:val="1"/>
          <w:color w:val="3465B0"/>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gridSpan w:val="2"/>
          </w:tcPr>
          <w:p>
            <w:pPr>
              <w:spacing w:after="0"/>
              <w:rPr>
                <w:sz w:val="20"/>
                <w:szCs w:val="20"/>
                <w:color w:val="auto"/>
              </w:rPr>
            </w:pPr>
            <w:r>
              <w:rPr>
                <w:rFonts w:ascii="Arial" w:cs="Arial" w:eastAsia="Arial" w:hAnsi="Arial"/>
                <w:sz w:val="22"/>
                <w:szCs w:val="22"/>
                <w:b w:val="1"/>
                <w:bCs w:val="1"/>
                <w:color w:val="3465B0"/>
              </w:rPr>
              <w:t>PART I.</w:t>
            </w:r>
          </w:p>
        </w:tc>
        <w:tc>
          <w:tcPr>
            <w:tcW w:w="7080" w:type="dxa"/>
            <w:vAlign w:val="bottom"/>
            <w:gridSpan w:val="17"/>
          </w:tcPr>
          <w:p>
            <w:pPr>
              <w:spacing w:after="0"/>
              <w:rPr>
                <w:sz w:val="20"/>
                <w:szCs w:val="20"/>
                <w:color w:val="auto"/>
              </w:rPr>
            </w:pPr>
            <w:r>
              <w:rPr>
                <w:rFonts w:ascii="Arial" w:cs="Arial" w:eastAsia="Arial" w:hAnsi="Arial"/>
                <w:sz w:val="22"/>
                <w:szCs w:val="22"/>
                <w:b w:val="1"/>
                <w:bCs w:val="1"/>
                <w:color w:val="3465B0"/>
              </w:rPr>
              <w:t>FINANCIAL INFORMATION</w:t>
            </w:r>
          </w:p>
        </w:tc>
        <w:tc>
          <w:tcPr>
            <w:tcW w:w="3140" w:type="dxa"/>
            <w:vAlign w:val="bottom"/>
          </w:tcPr>
          <w:p>
            <w:pPr>
              <w:jc w:val="right"/>
              <w:spacing w:after="0"/>
              <w:rPr>
                <w:sz w:val="20"/>
                <w:szCs w:val="20"/>
                <w:color w:val="auto"/>
              </w:rPr>
            </w:pPr>
            <w:r>
              <w:rPr>
                <w:rFonts w:ascii="Arial" w:cs="Arial" w:eastAsia="Arial" w:hAnsi="Arial"/>
                <w:sz w:val="22"/>
                <w:szCs w:val="22"/>
                <w:color w:val="3465B0"/>
              </w:rPr>
              <w:t>3</w:t>
            </w:r>
          </w:p>
        </w:tc>
        <w:tc>
          <w:tcPr>
            <w:tcW w:w="20" w:type="dxa"/>
            <w:vAlign w:val="bottom"/>
          </w:tcPr>
          <w:p>
            <w:pPr>
              <w:spacing w:after="0"/>
              <w:rPr>
                <w:sz w:val="21"/>
                <w:szCs w:val="21"/>
                <w:color w:val="auto"/>
              </w:rPr>
            </w:pPr>
          </w:p>
        </w:tc>
      </w:tr>
      <w:tr>
        <w:trPr>
          <w:trHeight w:val="142"/>
        </w:trPr>
        <w:tc>
          <w:tcPr>
            <w:tcW w:w="860" w:type="dxa"/>
            <w:vAlign w:val="bottom"/>
            <w:tcBorders>
              <w:bottom w:val="single" w:sz="8" w:color="3465B0"/>
            </w:tcBorders>
          </w:tcPr>
          <w:p>
            <w:pPr>
              <w:spacing w:after="0"/>
              <w:rPr>
                <w:sz w:val="12"/>
                <w:szCs w:val="12"/>
                <w:color w:val="auto"/>
              </w:rPr>
            </w:pPr>
          </w:p>
        </w:tc>
        <w:tc>
          <w:tcPr>
            <w:tcW w:w="160" w:type="dxa"/>
            <w:vAlign w:val="bottom"/>
            <w:tcBorders>
              <w:bottom w:val="single" w:sz="8" w:color="3465B0"/>
            </w:tcBorders>
          </w:tcPr>
          <w:p>
            <w:pPr>
              <w:spacing w:after="0"/>
              <w:rPr>
                <w:sz w:val="12"/>
                <w:szCs w:val="12"/>
                <w:color w:val="auto"/>
              </w:rPr>
            </w:pPr>
          </w:p>
        </w:tc>
        <w:tc>
          <w:tcPr>
            <w:tcW w:w="640" w:type="dxa"/>
            <w:vAlign w:val="bottom"/>
            <w:tcBorders>
              <w:top w:val="single" w:sz="8" w:color="0000EE"/>
              <w:bottom w:val="single" w:sz="8" w:color="3465B0"/>
            </w:tcBorders>
          </w:tcPr>
          <w:p>
            <w:pPr>
              <w:spacing w:after="0"/>
              <w:rPr>
                <w:sz w:val="12"/>
                <w:szCs w:val="12"/>
                <w:color w:val="auto"/>
              </w:rPr>
            </w:pPr>
          </w:p>
        </w:tc>
        <w:tc>
          <w:tcPr>
            <w:tcW w:w="360" w:type="dxa"/>
            <w:vAlign w:val="bottom"/>
            <w:tcBorders>
              <w:top w:val="single" w:sz="8" w:color="0000EE"/>
              <w:bottom w:val="single" w:sz="8" w:color="3465B0"/>
            </w:tcBorders>
          </w:tcPr>
          <w:p>
            <w:pPr>
              <w:spacing w:after="0"/>
              <w:rPr>
                <w:sz w:val="12"/>
                <w:szCs w:val="12"/>
                <w:color w:val="auto"/>
              </w:rPr>
            </w:pPr>
          </w:p>
        </w:tc>
        <w:tc>
          <w:tcPr>
            <w:tcW w:w="400" w:type="dxa"/>
            <w:vAlign w:val="bottom"/>
            <w:tcBorders>
              <w:top w:val="single" w:sz="8" w:color="0000EE"/>
              <w:bottom w:val="single" w:sz="8" w:color="3465B0"/>
            </w:tcBorders>
          </w:tcPr>
          <w:p>
            <w:pPr>
              <w:spacing w:after="0"/>
              <w:rPr>
                <w:sz w:val="12"/>
                <w:szCs w:val="12"/>
                <w:color w:val="auto"/>
              </w:rPr>
            </w:pPr>
          </w:p>
        </w:tc>
        <w:tc>
          <w:tcPr>
            <w:tcW w:w="100" w:type="dxa"/>
            <w:vAlign w:val="bottom"/>
            <w:tcBorders>
              <w:top w:val="single" w:sz="8" w:color="0000EE"/>
              <w:bottom w:val="single" w:sz="8" w:color="3465B0"/>
            </w:tcBorders>
          </w:tcPr>
          <w:p>
            <w:pPr>
              <w:spacing w:after="0"/>
              <w:rPr>
                <w:sz w:val="12"/>
                <w:szCs w:val="12"/>
                <w:color w:val="auto"/>
              </w:rPr>
            </w:pPr>
          </w:p>
        </w:tc>
        <w:tc>
          <w:tcPr>
            <w:tcW w:w="180" w:type="dxa"/>
            <w:vAlign w:val="bottom"/>
            <w:tcBorders>
              <w:top w:val="single" w:sz="8" w:color="0000EE"/>
              <w:bottom w:val="single" w:sz="8" w:color="3465B0"/>
            </w:tcBorders>
          </w:tcPr>
          <w:p>
            <w:pPr>
              <w:spacing w:after="0"/>
              <w:rPr>
                <w:sz w:val="12"/>
                <w:szCs w:val="12"/>
                <w:color w:val="auto"/>
              </w:rPr>
            </w:pPr>
          </w:p>
        </w:tc>
        <w:tc>
          <w:tcPr>
            <w:tcW w:w="320" w:type="dxa"/>
            <w:vAlign w:val="bottom"/>
            <w:tcBorders>
              <w:top w:val="single" w:sz="8" w:color="0000EE"/>
              <w:bottom w:val="single" w:sz="8" w:color="3465B0"/>
            </w:tcBorders>
          </w:tcPr>
          <w:p>
            <w:pPr>
              <w:spacing w:after="0"/>
              <w:rPr>
                <w:sz w:val="12"/>
                <w:szCs w:val="12"/>
                <w:color w:val="auto"/>
              </w:rPr>
            </w:pPr>
          </w:p>
        </w:tc>
        <w:tc>
          <w:tcPr>
            <w:tcW w:w="340" w:type="dxa"/>
            <w:vAlign w:val="bottom"/>
            <w:tcBorders>
              <w:top w:val="single" w:sz="8" w:color="0000EE"/>
              <w:bottom w:val="single" w:sz="8" w:color="3465B0"/>
            </w:tcBorders>
          </w:tcPr>
          <w:p>
            <w:pPr>
              <w:spacing w:after="0"/>
              <w:rPr>
                <w:sz w:val="12"/>
                <w:szCs w:val="12"/>
                <w:color w:val="auto"/>
              </w:rPr>
            </w:pPr>
          </w:p>
        </w:tc>
        <w:tc>
          <w:tcPr>
            <w:tcW w:w="400" w:type="dxa"/>
            <w:vAlign w:val="bottom"/>
            <w:tcBorders>
              <w:top w:val="single" w:sz="8" w:color="0000EE"/>
              <w:bottom w:val="single" w:sz="8" w:color="3465B0"/>
            </w:tcBorders>
          </w:tcPr>
          <w:p>
            <w:pPr>
              <w:spacing w:after="0"/>
              <w:rPr>
                <w:sz w:val="12"/>
                <w:szCs w:val="12"/>
                <w:color w:val="auto"/>
              </w:rPr>
            </w:pPr>
          </w:p>
        </w:tc>
        <w:tc>
          <w:tcPr>
            <w:tcW w:w="1460" w:type="dxa"/>
            <w:vAlign w:val="bottom"/>
            <w:tcBorders>
              <w:bottom w:val="single" w:sz="8" w:color="3465B0"/>
            </w:tcBorders>
          </w:tcPr>
          <w:p>
            <w:pPr>
              <w:spacing w:after="0"/>
              <w:rPr>
                <w:sz w:val="12"/>
                <w:szCs w:val="12"/>
                <w:color w:val="auto"/>
              </w:rPr>
            </w:pPr>
          </w:p>
        </w:tc>
        <w:tc>
          <w:tcPr>
            <w:tcW w:w="300" w:type="dxa"/>
            <w:vAlign w:val="bottom"/>
            <w:tcBorders>
              <w:bottom w:val="single" w:sz="8" w:color="3465B0"/>
            </w:tcBorders>
          </w:tcPr>
          <w:p>
            <w:pPr>
              <w:spacing w:after="0"/>
              <w:rPr>
                <w:sz w:val="12"/>
                <w:szCs w:val="12"/>
                <w:color w:val="auto"/>
              </w:rPr>
            </w:pPr>
          </w:p>
        </w:tc>
        <w:tc>
          <w:tcPr>
            <w:tcW w:w="220" w:type="dxa"/>
            <w:vAlign w:val="bottom"/>
            <w:tcBorders>
              <w:bottom w:val="single" w:sz="8" w:color="3465B0"/>
            </w:tcBorders>
          </w:tcPr>
          <w:p>
            <w:pPr>
              <w:spacing w:after="0"/>
              <w:rPr>
                <w:sz w:val="12"/>
                <w:szCs w:val="12"/>
                <w:color w:val="auto"/>
              </w:rPr>
            </w:pPr>
          </w:p>
        </w:tc>
        <w:tc>
          <w:tcPr>
            <w:tcW w:w="140" w:type="dxa"/>
            <w:vAlign w:val="bottom"/>
            <w:tcBorders>
              <w:bottom w:val="single" w:sz="8" w:color="3465B0"/>
            </w:tcBorders>
          </w:tcPr>
          <w:p>
            <w:pPr>
              <w:spacing w:after="0"/>
              <w:rPr>
                <w:sz w:val="12"/>
                <w:szCs w:val="12"/>
                <w:color w:val="auto"/>
              </w:rPr>
            </w:pPr>
          </w:p>
        </w:tc>
        <w:tc>
          <w:tcPr>
            <w:tcW w:w="180" w:type="dxa"/>
            <w:vAlign w:val="bottom"/>
            <w:tcBorders>
              <w:bottom w:val="single" w:sz="8" w:color="3465B0"/>
            </w:tcBorders>
          </w:tcPr>
          <w:p>
            <w:pPr>
              <w:spacing w:after="0"/>
              <w:rPr>
                <w:sz w:val="12"/>
                <w:szCs w:val="12"/>
                <w:color w:val="auto"/>
              </w:rPr>
            </w:pPr>
          </w:p>
        </w:tc>
        <w:tc>
          <w:tcPr>
            <w:tcW w:w="300" w:type="dxa"/>
            <w:vAlign w:val="bottom"/>
            <w:tcBorders>
              <w:bottom w:val="single" w:sz="8" w:color="3465B0"/>
            </w:tcBorders>
          </w:tcPr>
          <w:p>
            <w:pPr>
              <w:spacing w:after="0"/>
              <w:rPr>
                <w:sz w:val="12"/>
                <w:szCs w:val="12"/>
                <w:color w:val="auto"/>
              </w:rPr>
            </w:pPr>
          </w:p>
        </w:tc>
        <w:tc>
          <w:tcPr>
            <w:tcW w:w="400" w:type="dxa"/>
            <w:vAlign w:val="bottom"/>
            <w:tcBorders>
              <w:bottom w:val="single" w:sz="8" w:color="3465B0"/>
            </w:tcBorders>
          </w:tcPr>
          <w:p>
            <w:pPr>
              <w:spacing w:after="0"/>
              <w:rPr>
                <w:sz w:val="12"/>
                <w:szCs w:val="12"/>
                <w:color w:val="auto"/>
              </w:rPr>
            </w:pPr>
          </w:p>
        </w:tc>
        <w:tc>
          <w:tcPr>
            <w:tcW w:w="260" w:type="dxa"/>
            <w:vAlign w:val="bottom"/>
            <w:tcBorders>
              <w:bottom w:val="single" w:sz="8" w:color="3465B0"/>
            </w:tcBorders>
          </w:tcPr>
          <w:p>
            <w:pPr>
              <w:spacing w:after="0"/>
              <w:rPr>
                <w:sz w:val="12"/>
                <w:szCs w:val="12"/>
                <w:color w:val="auto"/>
              </w:rPr>
            </w:pPr>
          </w:p>
        </w:tc>
        <w:tc>
          <w:tcPr>
            <w:tcW w:w="1080" w:type="dxa"/>
            <w:vAlign w:val="bottom"/>
            <w:tcBorders>
              <w:bottom w:val="single" w:sz="8" w:color="3465B0"/>
            </w:tcBorders>
          </w:tcPr>
          <w:p>
            <w:pPr>
              <w:spacing w:after="0"/>
              <w:rPr>
                <w:sz w:val="12"/>
                <w:szCs w:val="12"/>
                <w:color w:val="auto"/>
              </w:rPr>
            </w:pPr>
          </w:p>
        </w:tc>
        <w:tc>
          <w:tcPr>
            <w:tcW w:w="3140" w:type="dxa"/>
            <w:vAlign w:val="bottom"/>
            <w:tcBorders>
              <w:bottom w:val="single" w:sz="8" w:color="3465B0"/>
            </w:tcBorders>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b w:val="1"/>
                <w:bCs w:val="1"/>
                <w:color w:val="00002D"/>
              </w:rPr>
              <w:t>Item 1.</w:t>
            </w:r>
          </w:p>
        </w:tc>
        <w:tc>
          <w:tcPr>
            <w:tcW w:w="7080" w:type="dxa"/>
            <w:vAlign w:val="bottom"/>
            <w:gridSpan w:val="17"/>
          </w:tcPr>
          <w:p>
            <w:pPr>
              <w:spacing w:after="0"/>
              <w:rPr>
                <w:sz w:val="20"/>
                <w:szCs w:val="20"/>
                <w:color w:val="auto"/>
              </w:rPr>
            </w:pPr>
            <w:r>
              <w:rPr>
                <w:rFonts w:ascii="Arial" w:cs="Arial" w:eastAsia="Arial" w:hAnsi="Arial"/>
                <w:sz w:val="18"/>
                <w:szCs w:val="18"/>
                <w:color w:val="00002D"/>
              </w:rPr>
              <w:t>Financial Statements</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00002D"/>
              </w:rPr>
              <w:t>3</w:t>
            </w:r>
          </w:p>
        </w:tc>
        <w:tc>
          <w:tcPr>
            <w:tcW w:w="20" w:type="dxa"/>
            <w:vAlign w:val="bottom"/>
          </w:tcPr>
          <w:p>
            <w:pPr>
              <w:spacing w:after="0"/>
              <w:rPr>
                <w:sz w:val="24"/>
                <w:szCs w:val="24"/>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bottom w:val="single" w:sz="8" w:color="DAE1EB"/>
            </w:tcBorders>
          </w:tcPr>
          <w:p>
            <w:pPr>
              <w:spacing w:after="0"/>
              <w:rPr>
                <w:sz w:val="2"/>
                <w:szCs w:val="2"/>
                <w:color w:val="auto"/>
              </w:rPr>
            </w:pPr>
          </w:p>
        </w:tc>
        <w:tc>
          <w:tcPr>
            <w:tcW w:w="34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46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Unaudited Condensed Consolidated Balance Sheets</w:t>
            </w:r>
          </w:p>
        </w:tc>
        <w:tc>
          <w:tcPr>
            <w:tcW w:w="3140" w:type="dxa"/>
            <w:vAlign w:val="bottom"/>
          </w:tcPr>
          <w:p>
            <w:pPr>
              <w:jc w:val="right"/>
              <w:spacing w:after="0" w:line="182" w:lineRule="exact"/>
              <w:rPr>
                <w:sz w:val="20"/>
                <w:szCs w:val="20"/>
                <w:color w:val="auto"/>
              </w:rPr>
            </w:pPr>
            <w:r>
              <w:rPr>
                <w:rFonts w:ascii="Arial" w:cs="Arial" w:eastAsia="Arial" w:hAnsi="Arial"/>
                <w:sz w:val="18"/>
                <w:szCs w:val="18"/>
                <w:b w:val="1"/>
                <w:bCs w:val="1"/>
                <w:color w:val="00002D"/>
              </w:rPr>
              <w:t>3</w:t>
            </w:r>
          </w:p>
        </w:tc>
        <w:tc>
          <w:tcPr>
            <w:tcW w:w="20" w:type="dxa"/>
            <w:vAlign w:val="bottom"/>
          </w:tcPr>
          <w:p>
            <w:pPr>
              <w:spacing w:after="0"/>
              <w:rPr>
                <w:sz w:val="15"/>
                <w:szCs w:val="15"/>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Unaudited Condensed Consolidated Income Statements</w:t>
            </w:r>
          </w:p>
        </w:tc>
        <w:tc>
          <w:tcPr>
            <w:tcW w:w="3140" w:type="dxa"/>
            <w:vAlign w:val="bottom"/>
          </w:tcPr>
          <w:p>
            <w:pPr>
              <w:jc w:val="right"/>
              <w:spacing w:after="0" w:line="182" w:lineRule="exact"/>
              <w:rPr>
                <w:sz w:val="20"/>
                <w:szCs w:val="20"/>
                <w:color w:val="auto"/>
              </w:rPr>
            </w:pPr>
            <w:r>
              <w:rPr>
                <w:rFonts w:ascii="Arial" w:cs="Arial" w:eastAsia="Arial" w:hAnsi="Arial"/>
                <w:sz w:val="18"/>
                <w:szCs w:val="18"/>
                <w:b w:val="1"/>
                <w:bCs w:val="1"/>
                <w:color w:val="00002D"/>
              </w:rPr>
              <w:t>4</w:t>
            </w:r>
          </w:p>
        </w:tc>
        <w:tc>
          <w:tcPr>
            <w:tcW w:w="20" w:type="dxa"/>
            <w:vAlign w:val="bottom"/>
          </w:tcPr>
          <w:p>
            <w:pPr>
              <w:spacing w:after="0"/>
              <w:rPr>
                <w:sz w:val="15"/>
                <w:szCs w:val="15"/>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Unaudited Condensed Consolidated Statements of Comprehensive Income</w:t>
            </w:r>
          </w:p>
        </w:tc>
        <w:tc>
          <w:tcPr>
            <w:tcW w:w="3140" w:type="dxa"/>
            <w:vAlign w:val="bottom"/>
          </w:tcPr>
          <w:p>
            <w:pPr>
              <w:jc w:val="right"/>
              <w:spacing w:after="0" w:line="182" w:lineRule="exact"/>
              <w:rPr>
                <w:sz w:val="20"/>
                <w:szCs w:val="20"/>
                <w:color w:val="auto"/>
              </w:rPr>
            </w:pPr>
            <w:r>
              <w:rPr>
                <w:rFonts w:ascii="Arial" w:cs="Arial" w:eastAsia="Arial" w:hAnsi="Arial"/>
                <w:sz w:val="18"/>
                <w:szCs w:val="18"/>
                <w:b w:val="1"/>
                <w:bCs w:val="1"/>
                <w:color w:val="00002D"/>
              </w:rPr>
              <w:t>5</w:t>
            </w:r>
          </w:p>
        </w:tc>
        <w:tc>
          <w:tcPr>
            <w:tcW w:w="20" w:type="dxa"/>
            <w:vAlign w:val="bottom"/>
          </w:tcPr>
          <w:p>
            <w:pPr>
              <w:spacing w:after="0"/>
              <w:rPr>
                <w:sz w:val="15"/>
                <w:szCs w:val="15"/>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260" w:type="dxa"/>
            <w:vAlign w:val="bottom"/>
            <w:tcBorders>
              <w:top w:val="single" w:sz="8" w:color="0000EE"/>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Unaudited Condensed Consolidated Statements of Stockholders’ Equity</w:t>
            </w:r>
          </w:p>
        </w:tc>
        <w:tc>
          <w:tcPr>
            <w:tcW w:w="3140" w:type="dxa"/>
            <w:vAlign w:val="bottom"/>
          </w:tcPr>
          <w:p>
            <w:pPr>
              <w:jc w:val="right"/>
              <w:spacing w:after="0" w:line="182" w:lineRule="exact"/>
              <w:rPr>
                <w:sz w:val="20"/>
                <w:szCs w:val="20"/>
                <w:color w:val="auto"/>
              </w:rPr>
            </w:pPr>
            <w:r>
              <w:rPr>
                <w:rFonts w:ascii="Arial" w:cs="Arial" w:eastAsia="Arial" w:hAnsi="Arial"/>
                <w:sz w:val="18"/>
                <w:szCs w:val="18"/>
                <w:b w:val="1"/>
                <w:bCs w:val="1"/>
                <w:color w:val="00002D"/>
              </w:rPr>
              <w:t>6</w:t>
            </w:r>
          </w:p>
        </w:tc>
        <w:tc>
          <w:tcPr>
            <w:tcW w:w="20" w:type="dxa"/>
            <w:vAlign w:val="bottom"/>
          </w:tcPr>
          <w:p>
            <w:pPr>
              <w:spacing w:after="0"/>
              <w:rPr>
                <w:sz w:val="15"/>
                <w:szCs w:val="15"/>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Unaudited Condensed Consolidated Statements of Cash Flows</w:t>
            </w:r>
          </w:p>
        </w:tc>
        <w:tc>
          <w:tcPr>
            <w:tcW w:w="3140" w:type="dxa"/>
            <w:vAlign w:val="bottom"/>
          </w:tcPr>
          <w:p>
            <w:pPr>
              <w:jc w:val="right"/>
              <w:spacing w:after="0" w:line="182" w:lineRule="exact"/>
              <w:rPr>
                <w:sz w:val="20"/>
                <w:szCs w:val="20"/>
                <w:color w:val="auto"/>
              </w:rPr>
            </w:pPr>
            <w:r>
              <w:rPr>
                <w:rFonts w:ascii="Arial" w:cs="Arial" w:eastAsia="Arial" w:hAnsi="Arial"/>
                <w:sz w:val="18"/>
                <w:szCs w:val="18"/>
                <w:b w:val="1"/>
                <w:bCs w:val="1"/>
                <w:color w:val="00002D"/>
              </w:rPr>
              <w:t>7</w:t>
            </w:r>
          </w:p>
        </w:tc>
        <w:tc>
          <w:tcPr>
            <w:tcW w:w="20" w:type="dxa"/>
            <w:vAlign w:val="bottom"/>
          </w:tcPr>
          <w:p>
            <w:pPr>
              <w:spacing w:after="0"/>
              <w:rPr>
                <w:sz w:val="15"/>
                <w:szCs w:val="15"/>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Notes to Unaudited Condensed Consolidated Financial Statements</w:t>
            </w:r>
          </w:p>
        </w:tc>
        <w:tc>
          <w:tcPr>
            <w:tcW w:w="3140" w:type="dxa"/>
            <w:vAlign w:val="bottom"/>
          </w:tcPr>
          <w:p>
            <w:pPr>
              <w:jc w:val="right"/>
              <w:spacing w:after="0" w:line="182" w:lineRule="exact"/>
              <w:rPr>
                <w:sz w:val="20"/>
                <w:szCs w:val="20"/>
                <w:color w:val="auto"/>
              </w:rPr>
            </w:pPr>
            <w:r>
              <w:rPr>
                <w:rFonts w:ascii="Arial" w:cs="Arial" w:eastAsia="Arial" w:hAnsi="Arial"/>
                <w:sz w:val="18"/>
                <w:szCs w:val="18"/>
                <w:b w:val="1"/>
                <w:bCs w:val="1"/>
                <w:color w:val="00002D"/>
              </w:rPr>
              <w:t>8</w:t>
            </w:r>
          </w:p>
        </w:tc>
        <w:tc>
          <w:tcPr>
            <w:tcW w:w="20" w:type="dxa"/>
            <w:vAlign w:val="bottom"/>
          </w:tcPr>
          <w:p>
            <w:pPr>
              <w:spacing w:after="0"/>
              <w:rPr>
                <w:sz w:val="15"/>
                <w:szCs w:val="15"/>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b w:val="1"/>
                <w:bCs w:val="1"/>
                <w:color w:val="00002D"/>
              </w:rPr>
              <w:t>Item 2.</w:t>
            </w:r>
          </w:p>
        </w:tc>
        <w:tc>
          <w:tcPr>
            <w:tcW w:w="708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2D"/>
                <w:w w:val="99"/>
              </w:rPr>
              <w:t>Management’s Discussion and Analysis of Financial Condition and Results of Operations</w:t>
            </w:r>
          </w:p>
        </w:tc>
        <w:tc>
          <w:tcPr>
            <w:tcW w:w="3140" w:type="dxa"/>
            <w:vAlign w:val="bottom"/>
          </w:tcPr>
          <w:p>
            <w:pPr>
              <w:jc w:val="right"/>
              <w:spacing w:after="0" w:line="182" w:lineRule="exact"/>
              <w:rPr>
                <w:sz w:val="20"/>
                <w:szCs w:val="20"/>
                <w:color w:val="auto"/>
              </w:rPr>
            </w:pPr>
            <w:r>
              <w:rPr>
                <w:rFonts w:ascii="Arial" w:cs="Arial" w:eastAsia="Arial" w:hAnsi="Arial"/>
                <w:sz w:val="18"/>
                <w:szCs w:val="18"/>
                <w:b w:val="1"/>
                <w:bCs w:val="1"/>
                <w:color w:val="00002D"/>
              </w:rPr>
              <w:t>21</w:t>
            </w:r>
          </w:p>
        </w:tc>
        <w:tc>
          <w:tcPr>
            <w:tcW w:w="20" w:type="dxa"/>
            <w:vAlign w:val="bottom"/>
          </w:tcPr>
          <w:p>
            <w:pPr>
              <w:spacing w:after="0"/>
              <w:rPr>
                <w:sz w:val="15"/>
                <w:szCs w:val="15"/>
                <w:color w:val="auto"/>
              </w:rPr>
            </w:pP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bottom w:val="single" w:sz="8" w:color="DAE1EB"/>
            </w:tcBorders>
          </w:tcPr>
          <w:p>
            <w:pPr>
              <w:spacing w:after="0"/>
              <w:rPr>
                <w:sz w:val="2"/>
                <w:szCs w:val="2"/>
                <w:color w:val="auto"/>
              </w:rPr>
            </w:pPr>
          </w:p>
        </w:tc>
        <w:tc>
          <w:tcPr>
            <w:tcW w:w="36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0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20" w:type="dxa"/>
            <w:vAlign w:val="bottom"/>
            <w:tcBorders>
              <w:bottom w:val="single" w:sz="8" w:color="DAE1EB"/>
            </w:tcBorders>
          </w:tcPr>
          <w:p>
            <w:pPr>
              <w:spacing w:after="0"/>
              <w:rPr>
                <w:sz w:val="2"/>
                <w:szCs w:val="2"/>
                <w:color w:val="auto"/>
              </w:rPr>
            </w:pPr>
          </w:p>
        </w:tc>
        <w:tc>
          <w:tcPr>
            <w:tcW w:w="34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46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b w:val="1"/>
                <w:bCs w:val="1"/>
                <w:color w:val="00002D"/>
              </w:rPr>
              <w:t>Item 3.</w:t>
            </w: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Quantitative and Qualitative Disclosures About Market Risk</w:t>
            </w:r>
          </w:p>
        </w:tc>
        <w:tc>
          <w:tcPr>
            <w:tcW w:w="31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00002D"/>
              </w:rPr>
              <w:t>37</w:t>
            </w: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b w:val="1"/>
                <w:bCs w:val="1"/>
                <w:color w:val="00002D"/>
              </w:rPr>
              <w:t>Item 4.</w:t>
            </w:r>
          </w:p>
        </w:tc>
        <w:tc>
          <w:tcPr>
            <w:tcW w:w="200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2D"/>
                <w:w w:val="99"/>
              </w:rPr>
              <w:t>Controls and Procedures</w:t>
            </w:r>
          </w:p>
        </w:tc>
        <w:tc>
          <w:tcPr>
            <w:tcW w:w="5080" w:type="dxa"/>
            <w:vAlign w:val="bottom"/>
            <w:gridSpan w:val="11"/>
          </w:tcPr>
          <w:p>
            <w:pPr>
              <w:spacing w:after="0"/>
              <w:rPr>
                <w:sz w:val="15"/>
                <w:szCs w:val="15"/>
                <w:color w:val="auto"/>
              </w:rPr>
            </w:pPr>
          </w:p>
        </w:tc>
        <w:tc>
          <w:tcPr>
            <w:tcW w:w="31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00002D"/>
              </w:rPr>
              <w:t>38</w:t>
            </w:r>
          </w:p>
        </w:tc>
      </w:tr>
      <w:tr>
        <w:trPr>
          <w:trHeight w:val="439"/>
        </w:trPr>
        <w:tc>
          <w:tcPr>
            <w:tcW w:w="1020" w:type="dxa"/>
            <w:vAlign w:val="bottom"/>
            <w:gridSpan w:val="2"/>
          </w:tcPr>
          <w:p>
            <w:pPr>
              <w:spacing w:after="0"/>
              <w:rPr>
                <w:sz w:val="20"/>
                <w:szCs w:val="20"/>
                <w:color w:val="auto"/>
              </w:rPr>
            </w:pPr>
            <w:r>
              <w:rPr>
                <w:rFonts w:ascii="Arial" w:cs="Arial" w:eastAsia="Arial" w:hAnsi="Arial"/>
                <w:sz w:val="22"/>
                <w:szCs w:val="22"/>
                <w:b w:val="1"/>
                <w:bCs w:val="1"/>
                <w:color w:val="3465B0"/>
              </w:rPr>
              <w:t>PART II.</w:t>
            </w:r>
          </w:p>
        </w:tc>
        <w:tc>
          <w:tcPr>
            <w:tcW w:w="7080" w:type="dxa"/>
            <w:vAlign w:val="bottom"/>
            <w:gridSpan w:val="17"/>
          </w:tcPr>
          <w:p>
            <w:pPr>
              <w:spacing w:after="0"/>
              <w:rPr>
                <w:sz w:val="20"/>
                <w:szCs w:val="20"/>
                <w:color w:val="auto"/>
              </w:rPr>
            </w:pPr>
            <w:r>
              <w:rPr>
                <w:rFonts w:ascii="Arial" w:cs="Arial" w:eastAsia="Arial" w:hAnsi="Arial"/>
                <w:sz w:val="22"/>
                <w:szCs w:val="22"/>
                <w:b w:val="1"/>
                <w:bCs w:val="1"/>
                <w:color w:val="3465B0"/>
              </w:rPr>
              <w:t>OTHER INFORMATION</w:t>
            </w:r>
          </w:p>
        </w:tc>
        <w:tc>
          <w:tcPr>
            <w:tcW w:w="3140" w:type="dxa"/>
            <w:vAlign w:val="bottom"/>
          </w:tcPr>
          <w:p>
            <w:pPr>
              <w:jc w:val="right"/>
              <w:spacing w:after="0"/>
              <w:rPr>
                <w:sz w:val="20"/>
                <w:szCs w:val="20"/>
                <w:color w:val="auto"/>
              </w:rPr>
            </w:pPr>
            <w:r>
              <w:rPr>
                <w:rFonts w:ascii="Arial" w:cs="Arial" w:eastAsia="Arial" w:hAnsi="Arial"/>
                <w:sz w:val="22"/>
                <w:szCs w:val="22"/>
                <w:color w:val="3465B0"/>
              </w:rPr>
              <w:t>39</w:t>
            </w:r>
          </w:p>
        </w:tc>
        <w:tc>
          <w:tcPr>
            <w:tcW w:w="20" w:type="dxa"/>
            <w:vAlign w:val="bottom"/>
          </w:tcPr>
          <w:p>
            <w:pPr>
              <w:spacing w:after="0"/>
              <w:rPr>
                <w:sz w:val="24"/>
                <w:szCs w:val="24"/>
                <w:color w:val="auto"/>
              </w:rPr>
            </w:pPr>
          </w:p>
        </w:tc>
      </w:tr>
      <w:tr>
        <w:trPr>
          <w:trHeight w:val="142"/>
        </w:trPr>
        <w:tc>
          <w:tcPr>
            <w:tcW w:w="860" w:type="dxa"/>
            <w:vAlign w:val="bottom"/>
            <w:tcBorders>
              <w:bottom w:val="single" w:sz="8" w:color="3465B0"/>
            </w:tcBorders>
          </w:tcPr>
          <w:p>
            <w:pPr>
              <w:spacing w:after="0"/>
              <w:rPr>
                <w:sz w:val="12"/>
                <w:szCs w:val="12"/>
                <w:color w:val="auto"/>
              </w:rPr>
            </w:pPr>
          </w:p>
        </w:tc>
        <w:tc>
          <w:tcPr>
            <w:tcW w:w="160" w:type="dxa"/>
            <w:vAlign w:val="bottom"/>
            <w:tcBorders>
              <w:bottom w:val="single" w:sz="8" w:color="3465B0"/>
            </w:tcBorders>
          </w:tcPr>
          <w:p>
            <w:pPr>
              <w:spacing w:after="0"/>
              <w:rPr>
                <w:sz w:val="12"/>
                <w:szCs w:val="12"/>
                <w:color w:val="auto"/>
              </w:rPr>
            </w:pPr>
          </w:p>
        </w:tc>
        <w:tc>
          <w:tcPr>
            <w:tcW w:w="640" w:type="dxa"/>
            <w:vAlign w:val="bottom"/>
            <w:tcBorders>
              <w:top w:val="single" w:sz="8" w:color="0000EE"/>
              <w:bottom w:val="single" w:sz="8" w:color="3465B0"/>
            </w:tcBorders>
          </w:tcPr>
          <w:p>
            <w:pPr>
              <w:spacing w:after="0"/>
              <w:rPr>
                <w:sz w:val="12"/>
                <w:szCs w:val="12"/>
                <w:color w:val="auto"/>
              </w:rPr>
            </w:pPr>
          </w:p>
        </w:tc>
        <w:tc>
          <w:tcPr>
            <w:tcW w:w="360" w:type="dxa"/>
            <w:vAlign w:val="bottom"/>
            <w:tcBorders>
              <w:top w:val="single" w:sz="8" w:color="0000EE"/>
              <w:bottom w:val="single" w:sz="8" w:color="3465B0"/>
            </w:tcBorders>
          </w:tcPr>
          <w:p>
            <w:pPr>
              <w:spacing w:after="0"/>
              <w:rPr>
                <w:sz w:val="12"/>
                <w:szCs w:val="12"/>
                <w:color w:val="auto"/>
              </w:rPr>
            </w:pPr>
          </w:p>
        </w:tc>
        <w:tc>
          <w:tcPr>
            <w:tcW w:w="400" w:type="dxa"/>
            <w:vAlign w:val="bottom"/>
            <w:tcBorders>
              <w:top w:val="single" w:sz="8" w:color="0000EE"/>
              <w:bottom w:val="single" w:sz="8" w:color="3465B0"/>
            </w:tcBorders>
          </w:tcPr>
          <w:p>
            <w:pPr>
              <w:spacing w:after="0"/>
              <w:rPr>
                <w:sz w:val="12"/>
                <w:szCs w:val="12"/>
                <w:color w:val="auto"/>
              </w:rPr>
            </w:pPr>
          </w:p>
        </w:tc>
        <w:tc>
          <w:tcPr>
            <w:tcW w:w="100" w:type="dxa"/>
            <w:vAlign w:val="bottom"/>
            <w:tcBorders>
              <w:top w:val="single" w:sz="8" w:color="0000EE"/>
              <w:bottom w:val="single" w:sz="8" w:color="3465B0"/>
            </w:tcBorders>
          </w:tcPr>
          <w:p>
            <w:pPr>
              <w:spacing w:after="0"/>
              <w:rPr>
                <w:sz w:val="12"/>
                <w:szCs w:val="12"/>
                <w:color w:val="auto"/>
              </w:rPr>
            </w:pPr>
          </w:p>
        </w:tc>
        <w:tc>
          <w:tcPr>
            <w:tcW w:w="180" w:type="dxa"/>
            <w:vAlign w:val="bottom"/>
            <w:tcBorders>
              <w:top w:val="single" w:sz="8" w:color="0000EE"/>
              <w:bottom w:val="single" w:sz="8" w:color="3465B0"/>
            </w:tcBorders>
          </w:tcPr>
          <w:p>
            <w:pPr>
              <w:spacing w:after="0"/>
              <w:rPr>
                <w:sz w:val="12"/>
                <w:szCs w:val="12"/>
                <w:color w:val="auto"/>
              </w:rPr>
            </w:pPr>
          </w:p>
        </w:tc>
        <w:tc>
          <w:tcPr>
            <w:tcW w:w="320" w:type="dxa"/>
            <w:vAlign w:val="bottom"/>
            <w:tcBorders>
              <w:top w:val="single" w:sz="8" w:color="0000EE"/>
              <w:bottom w:val="single" w:sz="8" w:color="3465B0"/>
            </w:tcBorders>
          </w:tcPr>
          <w:p>
            <w:pPr>
              <w:spacing w:after="0"/>
              <w:rPr>
                <w:sz w:val="12"/>
                <w:szCs w:val="12"/>
                <w:color w:val="auto"/>
              </w:rPr>
            </w:pPr>
          </w:p>
        </w:tc>
        <w:tc>
          <w:tcPr>
            <w:tcW w:w="340" w:type="dxa"/>
            <w:vAlign w:val="bottom"/>
            <w:tcBorders>
              <w:top w:val="single" w:sz="8" w:color="0000EE"/>
              <w:bottom w:val="single" w:sz="8" w:color="3465B0"/>
            </w:tcBorders>
          </w:tcPr>
          <w:p>
            <w:pPr>
              <w:spacing w:after="0"/>
              <w:rPr>
                <w:sz w:val="12"/>
                <w:szCs w:val="12"/>
                <w:color w:val="auto"/>
              </w:rPr>
            </w:pPr>
          </w:p>
        </w:tc>
        <w:tc>
          <w:tcPr>
            <w:tcW w:w="400" w:type="dxa"/>
            <w:vAlign w:val="bottom"/>
            <w:tcBorders>
              <w:bottom w:val="single" w:sz="8" w:color="3465B0"/>
            </w:tcBorders>
          </w:tcPr>
          <w:p>
            <w:pPr>
              <w:spacing w:after="0"/>
              <w:rPr>
                <w:sz w:val="12"/>
                <w:szCs w:val="12"/>
                <w:color w:val="auto"/>
              </w:rPr>
            </w:pPr>
          </w:p>
        </w:tc>
        <w:tc>
          <w:tcPr>
            <w:tcW w:w="1460" w:type="dxa"/>
            <w:vAlign w:val="bottom"/>
            <w:tcBorders>
              <w:bottom w:val="single" w:sz="8" w:color="3465B0"/>
            </w:tcBorders>
          </w:tcPr>
          <w:p>
            <w:pPr>
              <w:spacing w:after="0"/>
              <w:rPr>
                <w:sz w:val="12"/>
                <w:szCs w:val="12"/>
                <w:color w:val="auto"/>
              </w:rPr>
            </w:pPr>
          </w:p>
        </w:tc>
        <w:tc>
          <w:tcPr>
            <w:tcW w:w="300" w:type="dxa"/>
            <w:vAlign w:val="bottom"/>
            <w:tcBorders>
              <w:bottom w:val="single" w:sz="8" w:color="3465B0"/>
            </w:tcBorders>
          </w:tcPr>
          <w:p>
            <w:pPr>
              <w:spacing w:after="0"/>
              <w:rPr>
                <w:sz w:val="12"/>
                <w:szCs w:val="12"/>
                <w:color w:val="auto"/>
              </w:rPr>
            </w:pPr>
          </w:p>
        </w:tc>
        <w:tc>
          <w:tcPr>
            <w:tcW w:w="220" w:type="dxa"/>
            <w:vAlign w:val="bottom"/>
            <w:tcBorders>
              <w:bottom w:val="single" w:sz="8" w:color="3465B0"/>
            </w:tcBorders>
          </w:tcPr>
          <w:p>
            <w:pPr>
              <w:spacing w:after="0"/>
              <w:rPr>
                <w:sz w:val="12"/>
                <w:szCs w:val="12"/>
                <w:color w:val="auto"/>
              </w:rPr>
            </w:pPr>
          </w:p>
        </w:tc>
        <w:tc>
          <w:tcPr>
            <w:tcW w:w="140" w:type="dxa"/>
            <w:vAlign w:val="bottom"/>
            <w:tcBorders>
              <w:bottom w:val="single" w:sz="8" w:color="3465B0"/>
            </w:tcBorders>
          </w:tcPr>
          <w:p>
            <w:pPr>
              <w:spacing w:after="0"/>
              <w:rPr>
                <w:sz w:val="12"/>
                <w:szCs w:val="12"/>
                <w:color w:val="auto"/>
              </w:rPr>
            </w:pPr>
          </w:p>
        </w:tc>
        <w:tc>
          <w:tcPr>
            <w:tcW w:w="180" w:type="dxa"/>
            <w:vAlign w:val="bottom"/>
            <w:tcBorders>
              <w:bottom w:val="single" w:sz="8" w:color="3465B0"/>
            </w:tcBorders>
          </w:tcPr>
          <w:p>
            <w:pPr>
              <w:spacing w:after="0"/>
              <w:rPr>
                <w:sz w:val="12"/>
                <w:szCs w:val="12"/>
                <w:color w:val="auto"/>
              </w:rPr>
            </w:pPr>
          </w:p>
        </w:tc>
        <w:tc>
          <w:tcPr>
            <w:tcW w:w="300" w:type="dxa"/>
            <w:vAlign w:val="bottom"/>
            <w:tcBorders>
              <w:bottom w:val="single" w:sz="8" w:color="3465B0"/>
            </w:tcBorders>
          </w:tcPr>
          <w:p>
            <w:pPr>
              <w:spacing w:after="0"/>
              <w:rPr>
                <w:sz w:val="12"/>
                <w:szCs w:val="12"/>
                <w:color w:val="auto"/>
              </w:rPr>
            </w:pPr>
          </w:p>
        </w:tc>
        <w:tc>
          <w:tcPr>
            <w:tcW w:w="400" w:type="dxa"/>
            <w:vAlign w:val="bottom"/>
            <w:tcBorders>
              <w:bottom w:val="single" w:sz="8" w:color="3465B0"/>
            </w:tcBorders>
          </w:tcPr>
          <w:p>
            <w:pPr>
              <w:spacing w:after="0"/>
              <w:rPr>
                <w:sz w:val="12"/>
                <w:szCs w:val="12"/>
                <w:color w:val="auto"/>
              </w:rPr>
            </w:pPr>
          </w:p>
        </w:tc>
        <w:tc>
          <w:tcPr>
            <w:tcW w:w="260" w:type="dxa"/>
            <w:vAlign w:val="bottom"/>
            <w:tcBorders>
              <w:bottom w:val="single" w:sz="8" w:color="3465B0"/>
            </w:tcBorders>
          </w:tcPr>
          <w:p>
            <w:pPr>
              <w:spacing w:after="0"/>
              <w:rPr>
                <w:sz w:val="12"/>
                <w:szCs w:val="12"/>
                <w:color w:val="auto"/>
              </w:rPr>
            </w:pPr>
          </w:p>
        </w:tc>
        <w:tc>
          <w:tcPr>
            <w:tcW w:w="1080" w:type="dxa"/>
            <w:vAlign w:val="bottom"/>
            <w:tcBorders>
              <w:bottom w:val="single" w:sz="8" w:color="3465B0"/>
            </w:tcBorders>
          </w:tcPr>
          <w:p>
            <w:pPr>
              <w:spacing w:after="0"/>
              <w:rPr>
                <w:sz w:val="12"/>
                <w:szCs w:val="12"/>
                <w:color w:val="auto"/>
              </w:rPr>
            </w:pPr>
          </w:p>
        </w:tc>
        <w:tc>
          <w:tcPr>
            <w:tcW w:w="3140" w:type="dxa"/>
            <w:vAlign w:val="bottom"/>
            <w:tcBorders>
              <w:bottom w:val="single" w:sz="8" w:color="3465B0"/>
            </w:tcBorders>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b w:val="1"/>
                <w:bCs w:val="1"/>
                <w:color w:val="00002D"/>
              </w:rPr>
              <w:t>Item 1.</w:t>
            </w:r>
          </w:p>
        </w:tc>
        <w:tc>
          <w:tcPr>
            <w:tcW w:w="7080" w:type="dxa"/>
            <w:vAlign w:val="bottom"/>
            <w:gridSpan w:val="17"/>
          </w:tcPr>
          <w:p>
            <w:pPr>
              <w:spacing w:after="0"/>
              <w:rPr>
                <w:sz w:val="20"/>
                <w:szCs w:val="20"/>
                <w:color w:val="auto"/>
              </w:rPr>
            </w:pPr>
            <w:r>
              <w:rPr>
                <w:rFonts w:ascii="Arial" w:cs="Arial" w:eastAsia="Arial" w:hAnsi="Arial"/>
                <w:sz w:val="18"/>
                <w:szCs w:val="18"/>
                <w:color w:val="00002D"/>
              </w:rPr>
              <w:t>Legal Proceedings</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2D"/>
              </w:rPr>
              <w:t>39</w:t>
            </w: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20" w:type="dxa"/>
            <w:vAlign w:val="bottom"/>
            <w:tcBorders>
              <w:bottom w:val="single" w:sz="8" w:color="DAE1EB"/>
            </w:tcBorders>
          </w:tcPr>
          <w:p>
            <w:pPr>
              <w:spacing w:after="0"/>
              <w:rPr>
                <w:sz w:val="2"/>
                <w:szCs w:val="2"/>
                <w:color w:val="auto"/>
              </w:rPr>
            </w:pPr>
          </w:p>
        </w:tc>
        <w:tc>
          <w:tcPr>
            <w:tcW w:w="34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46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b w:val="1"/>
                <w:bCs w:val="1"/>
                <w:color w:val="00002D"/>
              </w:rPr>
              <w:t>Item 1A.</w:t>
            </w: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Risk Factors</w:t>
            </w:r>
          </w:p>
        </w:tc>
        <w:tc>
          <w:tcPr>
            <w:tcW w:w="31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00002D"/>
              </w:rPr>
              <w:t>39</w:t>
            </w: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0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20" w:type="dxa"/>
            <w:vAlign w:val="bottom"/>
            <w:tcBorders>
              <w:bottom w:val="single" w:sz="8" w:color="DAE1EB"/>
            </w:tcBorders>
          </w:tcPr>
          <w:p>
            <w:pPr>
              <w:spacing w:after="0"/>
              <w:rPr>
                <w:sz w:val="2"/>
                <w:szCs w:val="2"/>
                <w:color w:val="auto"/>
              </w:rPr>
            </w:pPr>
          </w:p>
        </w:tc>
        <w:tc>
          <w:tcPr>
            <w:tcW w:w="34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46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b w:val="1"/>
                <w:bCs w:val="1"/>
                <w:color w:val="00002D"/>
              </w:rPr>
              <w:t>Item 2.</w:t>
            </w: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Unregistered Sales of Equity Securities and Use of Proceeds</w:t>
            </w:r>
          </w:p>
        </w:tc>
        <w:tc>
          <w:tcPr>
            <w:tcW w:w="31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00002D"/>
              </w:rPr>
              <w:t>40</w:t>
            </w: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top w:val="single" w:sz="8" w:color="0000EE"/>
              <w:bottom w:val="single" w:sz="8" w:color="DAE1EB"/>
            </w:tcBorders>
          </w:tcPr>
          <w:p>
            <w:pPr>
              <w:spacing w:after="0"/>
              <w:rPr>
                <w:sz w:val="2"/>
                <w:szCs w:val="2"/>
                <w:color w:val="auto"/>
              </w:rPr>
            </w:pPr>
          </w:p>
        </w:tc>
        <w:tc>
          <w:tcPr>
            <w:tcW w:w="180" w:type="dxa"/>
            <w:vAlign w:val="bottom"/>
            <w:tcBorders>
              <w:top w:val="single" w:sz="8" w:color="0000EE"/>
              <w:bottom w:val="single" w:sz="8" w:color="DAE1EB"/>
            </w:tcBorders>
          </w:tcPr>
          <w:p>
            <w:pPr>
              <w:spacing w:after="0"/>
              <w:rPr>
                <w:sz w:val="2"/>
                <w:szCs w:val="2"/>
                <w:color w:val="auto"/>
              </w:rPr>
            </w:pPr>
          </w:p>
        </w:tc>
        <w:tc>
          <w:tcPr>
            <w:tcW w:w="320" w:type="dxa"/>
            <w:vAlign w:val="bottom"/>
            <w:tcBorders>
              <w:top w:val="single" w:sz="8" w:color="0000EE"/>
              <w:bottom w:val="single" w:sz="8" w:color="DAE1EB"/>
            </w:tcBorders>
          </w:tcPr>
          <w:p>
            <w:pPr>
              <w:spacing w:after="0"/>
              <w:rPr>
                <w:sz w:val="2"/>
                <w:szCs w:val="2"/>
                <w:color w:val="auto"/>
              </w:rPr>
            </w:pPr>
          </w:p>
        </w:tc>
        <w:tc>
          <w:tcPr>
            <w:tcW w:w="34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46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b w:val="1"/>
                <w:bCs w:val="1"/>
                <w:color w:val="00002D"/>
              </w:rPr>
              <w:t>Item 5.</w:t>
            </w: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Other Information</w:t>
            </w:r>
          </w:p>
        </w:tc>
        <w:tc>
          <w:tcPr>
            <w:tcW w:w="31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00002D"/>
              </w:rPr>
              <w:t>41</w:t>
            </w: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top w:val="single" w:sz="8" w:color="0000EE"/>
              <w:bottom w:val="single" w:sz="8" w:color="DAE1EB"/>
            </w:tcBorders>
          </w:tcPr>
          <w:p>
            <w:pPr>
              <w:spacing w:after="0"/>
              <w:rPr>
                <w:sz w:val="2"/>
                <w:szCs w:val="2"/>
                <w:color w:val="auto"/>
              </w:rPr>
            </w:pPr>
          </w:p>
        </w:tc>
        <w:tc>
          <w:tcPr>
            <w:tcW w:w="400" w:type="dxa"/>
            <w:vAlign w:val="bottom"/>
            <w:tcBorders>
              <w:top w:val="single" w:sz="8" w:color="0000EE"/>
              <w:bottom w:val="single" w:sz="8" w:color="DAE1EB"/>
            </w:tcBorders>
          </w:tcPr>
          <w:p>
            <w:pPr>
              <w:spacing w:after="0"/>
              <w:rPr>
                <w:sz w:val="2"/>
                <w:szCs w:val="2"/>
                <w:color w:val="auto"/>
              </w:rPr>
            </w:pPr>
          </w:p>
        </w:tc>
        <w:tc>
          <w:tcPr>
            <w:tcW w:w="10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20" w:type="dxa"/>
            <w:vAlign w:val="bottom"/>
            <w:tcBorders>
              <w:bottom w:val="single" w:sz="8" w:color="DAE1EB"/>
            </w:tcBorders>
          </w:tcPr>
          <w:p>
            <w:pPr>
              <w:spacing w:after="0"/>
              <w:rPr>
                <w:sz w:val="2"/>
                <w:szCs w:val="2"/>
                <w:color w:val="auto"/>
              </w:rPr>
            </w:pPr>
          </w:p>
        </w:tc>
        <w:tc>
          <w:tcPr>
            <w:tcW w:w="34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46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b w:val="1"/>
                <w:bCs w:val="1"/>
                <w:color w:val="00002D"/>
              </w:rPr>
              <w:t>Item 6.</w:t>
            </w:r>
          </w:p>
        </w:tc>
        <w:tc>
          <w:tcPr>
            <w:tcW w:w="7080" w:type="dxa"/>
            <w:vAlign w:val="bottom"/>
            <w:gridSpan w:val="17"/>
          </w:tcPr>
          <w:p>
            <w:pPr>
              <w:spacing w:after="0" w:line="182" w:lineRule="exact"/>
              <w:rPr>
                <w:sz w:val="20"/>
                <w:szCs w:val="20"/>
                <w:color w:val="auto"/>
              </w:rPr>
            </w:pPr>
            <w:r>
              <w:rPr>
                <w:rFonts w:ascii="Arial" w:cs="Arial" w:eastAsia="Arial" w:hAnsi="Arial"/>
                <w:sz w:val="18"/>
                <w:szCs w:val="18"/>
                <w:color w:val="00002D"/>
              </w:rPr>
              <w:t>Exhibits</w:t>
            </w:r>
          </w:p>
        </w:tc>
        <w:tc>
          <w:tcPr>
            <w:tcW w:w="31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00002D"/>
              </w:rPr>
              <w:t>42</w:t>
            </w:r>
          </w:p>
        </w:tc>
      </w:tr>
      <w:tr>
        <w:trPr>
          <w:trHeight w:val="34"/>
        </w:trPr>
        <w:tc>
          <w:tcPr>
            <w:tcW w:w="860" w:type="dxa"/>
            <w:vAlign w:val="bottom"/>
            <w:tcBorders>
              <w:bottom w:val="single" w:sz="8" w:color="DAE1EB"/>
            </w:tcBorders>
          </w:tcPr>
          <w:p>
            <w:pPr>
              <w:spacing w:after="0"/>
              <w:rPr>
                <w:sz w:val="2"/>
                <w:szCs w:val="2"/>
                <w:color w:val="auto"/>
              </w:rPr>
            </w:pPr>
          </w:p>
        </w:tc>
        <w:tc>
          <w:tcPr>
            <w:tcW w:w="160" w:type="dxa"/>
            <w:vAlign w:val="bottom"/>
            <w:tcBorders>
              <w:bottom w:val="single" w:sz="8" w:color="DAE1EB"/>
            </w:tcBorders>
          </w:tcPr>
          <w:p>
            <w:pPr>
              <w:spacing w:after="0"/>
              <w:rPr>
                <w:sz w:val="2"/>
                <w:szCs w:val="2"/>
                <w:color w:val="auto"/>
              </w:rPr>
            </w:pPr>
          </w:p>
        </w:tc>
        <w:tc>
          <w:tcPr>
            <w:tcW w:w="640" w:type="dxa"/>
            <w:vAlign w:val="bottom"/>
            <w:tcBorders>
              <w:top w:val="single" w:sz="8" w:color="0000EE"/>
              <w:bottom w:val="single" w:sz="8" w:color="DAE1EB"/>
            </w:tcBorders>
          </w:tcPr>
          <w:p>
            <w:pPr>
              <w:spacing w:after="0"/>
              <w:rPr>
                <w:sz w:val="2"/>
                <w:szCs w:val="2"/>
                <w:color w:val="auto"/>
              </w:rPr>
            </w:pPr>
          </w:p>
        </w:tc>
        <w:tc>
          <w:tcPr>
            <w:tcW w:w="36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0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20" w:type="dxa"/>
            <w:vAlign w:val="bottom"/>
            <w:tcBorders>
              <w:bottom w:val="single" w:sz="8" w:color="DAE1EB"/>
            </w:tcBorders>
          </w:tcPr>
          <w:p>
            <w:pPr>
              <w:spacing w:after="0"/>
              <w:rPr>
                <w:sz w:val="2"/>
                <w:szCs w:val="2"/>
                <w:color w:val="auto"/>
              </w:rPr>
            </w:pPr>
          </w:p>
        </w:tc>
        <w:tc>
          <w:tcPr>
            <w:tcW w:w="34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146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1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1080" w:type="dxa"/>
            <w:vAlign w:val="bottom"/>
            <w:tcBorders>
              <w:bottom w:val="single" w:sz="8" w:color="DAE1EB"/>
            </w:tcBorders>
          </w:tcPr>
          <w:p>
            <w:pPr>
              <w:spacing w:after="0"/>
              <w:rPr>
                <w:sz w:val="2"/>
                <w:szCs w:val="2"/>
                <w:color w:val="auto"/>
              </w:rPr>
            </w:pPr>
          </w:p>
        </w:tc>
        <w:tc>
          <w:tcPr>
            <w:tcW w:w="314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r>
      <w:tr>
        <w:trPr>
          <w:trHeight w:val="183"/>
        </w:trPr>
        <w:tc>
          <w:tcPr>
            <w:tcW w:w="1020" w:type="dxa"/>
            <w:vAlign w:val="bottom"/>
            <w:gridSpan w:val="2"/>
          </w:tcPr>
          <w:p>
            <w:pPr>
              <w:spacing w:after="0" w:line="182" w:lineRule="exact"/>
              <w:rPr>
                <w:sz w:val="20"/>
                <w:szCs w:val="20"/>
                <w:color w:val="auto"/>
              </w:rPr>
            </w:pPr>
            <w:r>
              <w:rPr>
                <w:rFonts w:ascii="Arial" w:cs="Arial" w:eastAsia="Arial" w:hAnsi="Arial"/>
                <w:sz w:val="18"/>
                <w:szCs w:val="18"/>
                <w:color w:val="00002D"/>
              </w:rPr>
              <w:t>Signatures</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1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00002D"/>
              </w:rPr>
              <w:t>43</w:t>
            </w:r>
          </w:p>
        </w:tc>
      </w:tr>
      <w:tr>
        <w:trPr>
          <w:trHeight w:val="1431"/>
        </w:trPr>
        <w:tc>
          <w:tcPr>
            <w:tcW w:w="8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480"/>
        <w:spacing w:after="0" w:line="497" w:lineRule="exact"/>
        <w:rPr>
          <w:sz w:val="20"/>
          <w:szCs w:val="20"/>
          <w:color w:val="auto"/>
        </w:rPr>
      </w:pPr>
      <w:r>
        <w:rPr>
          <w:rFonts w:ascii="Arial" w:cs="Arial" w:eastAsia="Arial" w:hAnsi="Arial"/>
          <w:sz w:val="36"/>
          <w:szCs w:val="36"/>
          <w:b w:val="1"/>
          <w:bCs w:val="1"/>
          <w:color w:val="3465B0"/>
        </w:rPr>
        <w:t>SPECIAL NOTE REGARDING FORWARD</w:t>
      </w:r>
      <w:r>
        <w:rPr>
          <w:rFonts w:ascii="MS PGothic" w:cs="MS PGothic" w:eastAsia="MS PGothic" w:hAnsi="MS PGothic"/>
          <w:sz w:val="36"/>
          <w:szCs w:val="36"/>
          <w:color w:val="000000"/>
        </w:rPr>
        <w:t>‑</w:t>
      </w:r>
      <w:r>
        <w:rPr>
          <w:rFonts w:ascii="Arial" w:cs="Arial" w:eastAsia="Arial" w:hAnsi="Arial"/>
          <w:sz w:val="36"/>
          <w:szCs w:val="36"/>
          <w:b w:val="1"/>
          <w:bCs w:val="1"/>
          <w:color w:val="3465B0"/>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-430530</wp:posOffset>
            </wp:positionV>
            <wp:extent cx="6985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0" cy="27940"/>
                    </a:xfrm>
                    <a:prstGeom prst="rect">
                      <a:avLst/>
                    </a:prstGeom>
                    <a:noFill/>
                  </pic:spPr>
                </pic:pic>
              </a:graphicData>
            </a:graphic>
          </wp:anchor>
        </w:drawing>
      </w:r>
    </w:p>
    <w:p>
      <w:pPr>
        <w:jc w:val="both"/>
        <w:spacing w:after="0" w:line="205" w:lineRule="exact"/>
        <w:rPr>
          <w:sz w:val="20"/>
          <w:szCs w:val="20"/>
          <w:color w:val="auto"/>
        </w:rPr>
      </w:pPr>
      <w:r>
        <w:rPr>
          <w:rFonts w:ascii="Arial" w:cs="Arial" w:eastAsia="Arial" w:hAnsi="Arial"/>
          <w:sz w:val="18"/>
          <w:szCs w:val="18"/>
          <w:color w:val="00002D"/>
        </w:rPr>
        <w:t>This Quarterly Report on Form 10-Q, or Quarterly Report, contains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within the meaning of the federal securities laws, which statements involve substantial risks and uncertainties.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generally relate to future events or our future financial or operating performance. In some cases, you can identify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statements about:</w:t>
      </w:r>
    </w:p>
    <w:p>
      <w:pPr>
        <w:spacing w:after="0" w:line="75" w:lineRule="exact"/>
        <w:rPr>
          <w:sz w:val="20"/>
          <w:szCs w:val="20"/>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future financial performance, including our expectations regarding our revenue, cost of revenue, gross profit or gross margin, operating expenses, ability to generate cash flow, and ability to achieve and maintain future profitability;</w:t>
      </w:r>
    </w:p>
    <w:p>
      <w:pPr>
        <w:spacing w:after="0" w:line="4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growth strategies and our ability to effectively manage any growth;</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the value proposition of our product offerings for dealers and consumers;</w:t>
      </w:r>
    </w:p>
    <w:p>
      <w:pPr>
        <w:spacing w:after="0" w:line="116" w:lineRule="exact"/>
        <w:rPr>
          <w:rFonts w:ascii="Times New Roman" w:cs="Times New Roman" w:eastAsia="Times New Roman" w:hAnsi="Times New Roman"/>
          <w:sz w:val="18"/>
          <w:szCs w:val="18"/>
          <w:color w:val="00002D"/>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the ability of our platform and offerings to increase a dealer’s return on investment, create dealer efficiencies, maintain our marketplace scale, and reduce consumer friction;</w:t>
      </w:r>
    </w:p>
    <w:p>
      <w:pPr>
        <w:spacing w:after="0" w:line="46" w:lineRule="exact"/>
        <w:rPr>
          <w:rFonts w:ascii="Times New Roman" w:cs="Times New Roman" w:eastAsia="Times New Roman" w:hAnsi="Times New Roman"/>
          <w:sz w:val="18"/>
          <w:szCs w:val="18"/>
          <w:color w:val="00002D"/>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evolution into a data- and intelligence-driven platform that supports dealers across their workflows and empowers consumers throughout their shopping journey;</w:t>
      </w:r>
    </w:p>
    <w:p>
      <w:pPr>
        <w:spacing w:after="0" w:line="46" w:lineRule="exact"/>
        <w:rPr>
          <w:rFonts w:ascii="Times New Roman" w:cs="Times New Roman" w:eastAsia="Times New Roman" w:hAnsi="Times New Roman"/>
          <w:sz w:val="18"/>
          <w:szCs w:val="18"/>
          <w:color w:val="00002D"/>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deliver quality leads at a high volume for our dealer customers and to provide the highest return on a dealer’s investment;</w:t>
      </w:r>
    </w:p>
    <w:p>
      <w:pPr>
        <w:spacing w:after="0" w:line="46" w:lineRule="exact"/>
        <w:rPr>
          <w:rFonts w:ascii="Times New Roman" w:cs="Times New Roman" w:eastAsia="Times New Roman" w:hAnsi="Times New Roman"/>
          <w:sz w:val="18"/>
          <w:szCs w:val="18"/>
          <w:color w:val="00002D"/>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expectations for Sell My Car (formerly Sell My Car - Top Dealer Offers) as well as our digital retailing offerings and continued investments;</w:t>
      </w:r>
    </w:p>
    <w:p>
      <w:pPr>
        <w:spacing w:after="0" w:line="4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maintain and acquire new customers;</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maintain and build our brand;</w:t>
      </w:r>
    </w:p>
    <w:p>
      <w:pPr>
        <w:spacing w:after="0" w:line="116" w:lineRule="exact"/>
        <w:rPr>
          <w:rFonts w:ascii="Times New Roman" w:cs="Times New Roman" w:eastAsia="Times New Roman" w:hAnsi="Times New Roman"/>
          <w:sz w:val="18"/>
          <w:szCs w:val="18"/>
          <w:color w:val="00002D"/>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belief that our partnerships with automotive lending companies provide more transparency to car shoppers and deliver highly qualified car shopper leads to participating dealers;</w:t>
      </w:r>
    </w:p>
    <w:p>
      <w:pPr>
        <w:spacing w:after="0" w:line="4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the impact of competition in our industry and innovation by our competitors;</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adapt to technological change and effectively enhance, innovate, and scale our platform and offerings;</w:t>
      </w:r>
    </w:p>
    <w:p>
      <w:pPr>
        <w:spacing w:after="0" w:line="116" w:lineRule="exact"/>
        <w:rPr>
          <w:rFonts w:ascii="Times New Roman" w:cs="Times New Roman" w:eastAsia="Times New Roman" w:hAnsi="Times New Roman"/>
          <w:sz w:val="18"/>
          <w:szCs w:val="18"/>
          <w:color w:val="00002D"/>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w:t>
      </w:r>
    </w:p>
    <w:p>
      <w:pPr>
        <w:spacing w:after="0" w:line="6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expectations regarding cash generation and the sufficiency of our cash to fund our operations;</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expectations regarding the funding of our share repurchase program;</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expected returns on investments;</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expectations regarding our deferred tax assets;</w:t>
      </w:r>
    </w:p>
    <w:p>
      <w:pPr>
        <w:spacing w:after="0" w:line="116" w:lineRule="exact"/>
        <w:rPr>
          <w:rFonts w:ascii="Times New Roman" w:cs="Times New Roman" w:eastAsia="Times New Roman" w:hAnsi="Times New Roman"/>
          <w:sz w:val="18"/>
          <w:szCs w:val="18"/>
          <w:color w:val="00002D"/>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the impact of changes in tax law and related guidance and regulations that may be implemented that could impact tax rates, our business, and our financial results;</w:t>
      </w:r>
    </w:p>
    <w:p>
      <w:pPr>
        <w:spacing w:after="0" w:line="46" w:lineRule="exact"/>
        <w:rPr>
          <w:rFonts w:ascii="Times New Roman" w:cs="Times New Roman" w:eastAsia="Times New Roman" w:hAnsi="Times New Roman"/>
          <w:sz w:val="18"/>
          <w:szCs w:val="18"/>
          <w:color w:val="00002D"/>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00002D"/>
        </w:rPr>
      </w:pPr>
      <w:r>
        <w:rPr>
          <w:rFonts w:ascii="Arial" w:cs="Arial" w:eastAsia="Arial" w:hAnsi="Arial"/>
          <w:sz w:val="18"/>
          <w:szCs w:val="18"/>
          <w:color w:val="00002D"/>
        </w:rPr>
        <w:t>our expectations regarding our expenses generally, including general and administrative, product, technology, and development, and sales and marketing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the effects of any significant disruption to, or other performance or reliability issues with, our marketplace and offerings, including as a result of network outages, cybersecurity incidents, or other security breaches, technical difficulties, system failures, or other interruptions to our systems or those of our third-party providers;</w:t>
      </w:r>
    </w:p>
    <w:p>
      <w:pPr>
        <w:spacing w:after="0" w:line="62"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adequately protect our intellectual property;</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attract, hire, and retain necessary qualified employees to expand our operations;</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the impact of litigation and the potential impact of unasserted claims;</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realize benefits from our acquisitions and successfully implement the integration strategies in connection therewith;</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domestic and global economic conditions affecting us, our customers, or our dealers;</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our revolving credit facility;</w:t>
      </w:r>
    </w:p>
    <w:p>
      <w:pPr>
        <w:spacing w:after="0" w:line="11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the impact of accounting pronouncements;</w:t>
      </w:r>
    </w:p>
    <w:p>
      <w:pPr>
        <w:spacing w:after="0" w:line="116" w:lineRule="exact"/>
        <w:rPr>
          <w:rFonts w:ascii="Times New Roman" w:cs="Times New Roman" w:eastAsia="Times New Roman" w:hAnsi="Times New Roman"/>
          <w:sz w:val="18"/>
          <w:szCs w:val="18"/>
          <w:color w:val="00002D"/>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our ability to stay abreast of, and effectively comply with, new or modified laws and regulations that currently apply or become applicable to our business and our beliefs regarding our compliance therewith; and</w:t>
      </w:r>
    </w:p>
    <w:p>
      <w:pPr>
        <w:spacing w:after="0" w:line="4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Arial" w:cs="Arial" w:eastAsia="Arial" w:hAnsi="Arial"/>
          <w:sz w:val="18"/>
          <w:szCs w:val="18"/>
          <w:color w:val="00002D"/>
        </w:rPr>
        <w:t>the future trading prices of our Class A common stock.</w:t>
      </w:r>
    </w:p>
    <w:p>
      <w:pPr>
        <w:spacing w:after="0" w:line="184"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color w:val="00002D"/>
        </w:rPr>
        <w:t>You should not rely upon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as predictions of future events. We have based the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contained in this Quarterly Report primarily on our current expectations and projections about future events and trends that we reasonably believe may affect our business, financial condition, operating results, and growth prospects. The outcome of the events described in these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is subject to risks, uncertainties, and other factors that are described in this Quarterly Report. We have included important risk factors in the cautionary statements included in our Annual Report on Form 10-K for the fiscal year ended December 31, 2025, filed with the U.S. Securities and Exchange Commission, or SEC, on February 19, 2026, or Annual Report, particularly those discussed in Part I, Item 1A, “Risk Factors,” in our Annual Report, that could cause actual results or events to differ materially from the forward-looking statements that we make. Should one or more of these risks or other uncertainties materialize, or if underlying assumptions prove incorrect, actual outcomes may vary materially from those described or implied in the forward-looking statements.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contained in this Quarterly Report. Further, our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do not reflect the potential impact of any future acquisitions, mergers, dispositions, or joint ventures in which we may be involved, or investments we may make.</w:t>
      </w:r>
    </w:p>
    <w:p>
      <w:pPr>
        <w:spacing w:after="0" w:line="146"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00002D"/>
        </w:rPr>
        <w:t>The forward</w:t>
      </w:r>
      <w:r>
        <w:rPr>
          <w:rFonts w:ascii="MS PGothic" w:cs="MS PGothic" w:eastAsia="MS PGothic" w:hAnsi="MS PGothic"/>
          <w:sz w:val="18"/>
          <w:szCs w:val="18"/>
          <w:color w:val="00002D"/>
        </w:rPr>
        <w:t>‑</w:t>
      </w:r>
      <w:r>
        <w:rPr>
          <w:rFonts w:ascii="Arial" w:cs="Arial" w:eastAsia="Arial" w:hAnsi="Arial"/>
          <w:sz w:val="18"/>
          <w:szCs w:val="18"/>
          <w:color w:val="00002D"/>
        </w:rPr>
        <w:t>looking statements made in this Quarterly Report speak only as of the date of this Quarterly Report. We undertake no obligation to update any forward</w:t>
      </w:r>
      <w:r>
        <w:rPr>
          <w:rFonts w:ascii="MS PGothic" w:cs="MS PGothic" w:eastAsia="MS PGothic" w:hAnsi="MS PGothic"/>
          <w:sz w:val="18"/>
          <w:szCs w:val="18"/>
          <w:color w:val="00002D"/>
        </w:rPr>
        <w:t>‑</w:t>
      </w:r>
      <w:r>
        <w:rPr>
          <w:rFonts w:ascii="Arial" w:cs="Arial" w:eastAsia="Arial" w:hAnsi="Arial"/>
          <w:sz w:val="18"/>
          <w:szCs w:val="18"/>
          <w:color w:val="00002D"/>
        </w:rPr>
        <w:t xml:space="preserve"> looking statement made in this Quarterly Report to reflect events or circumstances after the date of this Quarterly Report or to reflect new information or the occurrence of unanticipated events, except as required by law.</w:t>
      </w:r>
    </w:p>
    <w:p>
      <w:pPr>
        <w:spacing w:after="0" w:line="162" w:lineRule="exact"/>
        <w:rPr>
          <w:sz w:val="20"/>
          <w:szCs w:val="20"/>
          <w:color w:val="auto"/>
        </w:rPr>
      </w:pPr>
    </w:p>
    <w:p>
      <w:pPr>
        <w:spacing w:after="0"/>
        <w:rPr>
          <w:sz w:val="20"/>
          <w:szCs w:val="20"/>
          <w:color w:val="auto"/>
        </w:rPr>
      </w:pPr>
      <w:r>
        <w:rPr>
          <w:rFonts w:ascii="Arial" w:cs="Arial" w:eastAsia="Arial" w:hAnsi="Arial"/>
          <w:sz w:val="36"/>
          <w:szCs w:val="36"/>
          <w:b w:val="1"/>
          <w:bCs w:val="1"/>
          <w:color w:val="3465B0"/>
        </w:rPr>
        <w:t>NOTE REGARDING TRADEMARKS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CarGurus® and Autolist® are each a registered trademark of CarGurus, Inc. and PistonHeads® is a registered trademark of CarGurus Ireland Limited in the U.K. and the European Union. All other product names, trademarks, and registered trademarks are property of their respective owners. We have omitted the ® and ™ designations, as applicable, for the trademarks used in this Quarterly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20" w:firstLine="3016"/>
        <w:spacing w:after="0" w:line="290" w:lineRule="auto"/>
        <w:rPr>
          <w:sz w:val="20"/>
          <w:szCs w:val="20"/>
          <w:color w:val="auto"/>
        </w:rPr>
      </w:pPr>
      <w:r>
        <w:rPr>
          <w:rFonts w:ascii="Arial" w:cs="Arial" w:eastAsia="Arial" w:hAnsi="Arial"/>
          <w:sz w:val="31"/>
          <w:szCs w:val="31"/>
          <w:b w:val="1"/>
          <w:bCs w:val="1"/>
          <w:color w:val="3465B0"/>
        </w:rPr>
        <w:t>PART I—FINANCIAL INFORMATION Item 1.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002D"/>
        </w:rPr>
        <w:t>CarGurus, Inc.</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00002D"/>
        </w:rPr>
        <w:t>Unaudited Condensed Consolidated Balance Sheets</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00002D"/>
        </w:rPr>
        <w:t>(in thousands, except share and per share data)</w:t>
      </w: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As of</w:t>
            </w:r>
          </w:p>
        </w:tc>
      </w:t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83"/>
        </w:trPr>
        <w:tc>
          <w:tcPr>
            <w:tcW w:w="7720" w:type="dxa"/>
            <w:vAlign w:val="bottom"/>
            <w:shd w:val="clear" w:color="auto" w:fill="EEF2F7"/>
          </w:tcPr>
          <w:p>
            <w:pPr>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EEF2F7"/>
          </w:tcPr>
          <w:p>
            <w:pPr>
              <w:spacing w:after="0"/>
              <w:rPr>
                <w:sz w:val="15"/>
                <w:szCs w:val="15"/>
                <w:color w:val="auto"/>
              </w:rPr>
            </w:pPr>
          </w:p>
        </w:tc>
        <w:tc>
          <w:tcPr>
            <w:tcW w:w="1300" w:type="dxa"/>
            <w:vAlign w:val="bottom"/>
            <w:shd w:val="clear" w:color="auto" w:fill="EEF2F7"/>
          </w:tcPr>
          <w:p>
            <w:pPr>
              <w:spacing w:after="0"/>
              <w:rPr>
                <w:sz w:val="15"/>
                <w:szCs w:val="15"/>
                <w:color w:val="auto"/>
              </w:rPr>
            </w:pPr>
          </w:p>
        </w:tc>
        <w:tc>
          <w:tcPr>
            <w:tcW w:w="300" w:type="dxa"/>
            <w:vAlign w:val="bottom"/>
            <w:shd w:val="clear" w:color="auto" w:fill="EEF2F7"/>
          </w:tcPr>
          <w:p>
            <w:pPr>
              <w:spacing w:after="0"/>
              <w:rPr>
                <w:sz w:val="15"/>
                <w:szCs w:val="15"/>
                <w:color w:val="auto"/>
              </w:rPr>
            </w:pPr>
          </w:p>
        </w:tc>
        <w:tc>
          <w:tcPr>
            <w:tcW w:w="200" w:type="dxa"/>
            <w:vAlign w:val="bottom"/>
            <w:shd w:val="clear" w:color="auto" w:fill="EEF2F7"/>
          </w:tcPr>
          <w:p>
            <w:pPr>
              <w:spacing w:after="0"/>
              <w:rPr>
                <w:sz w:val="15"/>
                <w:szCs w:val="15"/>
                <w:color w:val="auto"/>
              </w:rPr>
            </w:pPr>
          </w:p>
        </w:tc>
        <w:tc>
          <w:tcPr>
            <w:tcW w:w="1360" w:type="dxa"/>
            <w:vAlign w:val="bottom"/>
            <w:shd w:val="clear" w:color="auto" w:fill="EEF2F7"/>
          </w:tcPr>
          <w:p>
            <w:pPr>
              <w:spacing w:after="0"/>
              <w:rPr>
                <w:sz w:val="15"/>
                <w:szCs w:val="15"/>
                <w:color w:val="auto"/>
              </w:rPr>
            </w:pPr>
          </w:p>
        </w:tc>
        <w:tc>
          <w:tcPr>
            <w:tcW w:w="100" w:type="dxa"/>
            <w:vAlign w:val="bottom"/>
            <w:shd w:val="clear" w:color="auto" w:fill="EEF2F7"/>
          </w:tcPr>
          <w:p>
            <w:pPr>
              <w:spacing w:after="0"/>
              <w:rPr>
                <w:sz w:val="15"/>
                <w:szCs w:val="15"/>
                <w:color w:val="auto"/>
              </w:rPr>
            </w:pPr>
          </w:p>
        </w:tc>
      </w:tr>
      <w:tr>
        <w:trPr>
          <w:trHeight w:val="189"/>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EEF2F7"/>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EEF2F7"/>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72,049</w:t>
            </w:r>
          </w:p>
        </w:tc>
        <w:tc>
          <w:tcPr>
            <w:tcW w:w="500" w:type="dxa"/>
            <w:vAlign w:val="bottom"/>
            <w:gridSpan w:val="2"/>
            <w:shd w:val="clear" w:color="auto" w:fill="EEF2F7"/>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190,518</w:t>
            </w:r>
          </w:p>
        </w:tc>
        <w:tc>
          <w:tcPr>
            <w:tcW w:w="100" w:type="dxa"/>
            <w:vAlign w:val="bottom"/>
            <w:shd w:val="clear" w:color="auto" w:fill="EEF2F7"/>
          </w:tcPr>
          <w:p>
            <w:pPr>
              <w:spacing w:after="0"/>
              <w:rPr>
                <w:sz w:val="16"/>
                <w:szCs w:val="16"/>
                <w:color w:val="auto"/>
              </w:rPr>
            </w:pPr>
          </w:p>
        </w:tc>
      </w:tr>
      <w:tr>
        <w:trPr>
          <w:trHeight w:val="175"/>
        </w:trPr>
        <w:tc>
          <w:tcPr>
            <w:tcW w:w="7720" w:type="dxa"/>
            <w:vAlign w:val="bottom"/>
          </w:tcPr>
          <w:p>
            <w:pPr>
              <w:ind w:left="140"/>
              <w:spacing w:after="0" w:line="175" w:lineRule="exact"/>
              <w:rPr>
                <w:sz w:val="20"/>
                <w:szCs w:val="20"/>
                <w:color w:val="auto"/>
              </w:rPr>
            </w:pPr>
            <w:r>
              <w:rPr>
                <w:rFonts w:ascii="Arial" w:cs="Arial" w:eastAsia="Arial" w:hAnsi="Arial"/>
                <w:sz w:val="16"/>
                <w:szCs w:val="16"/>
                <w:color w:val="auto"/>
              </w:rPr>
              <w:t>Accounts receivable, net of allowance for doubtful accounts of $800</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tcPr>
          <w:p>
            <w:pPr>
              <w:ind w:left="280"/>
              <w:spacing w:after="0"/>
              <w:rPr>
                <w:sz w:val="20"/>
                <w:szCs w:val="20"/>
                <w:color w:val="auto"/>
              </w:rPr>
            </w:pPr>
            <w:r>
              <w:rPr>
                <w:rFonts w:ascii="Arial" w:cs="Arial" w:eastAsia="Arial" w:hAnsi="Arial"/>
                <w:sz w:val="16"/>
                <w:szCs w:val="16"/>
                <w:color w:val="auto"/>
              </w:rPr>
              <w:t>and $600, respectively</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44,568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41,936</w:t>
            </w:r>
          </w:p>
        </w:tc>
        <w:tc>
          <w:tcPr>
            <w:tcW w:w="100" w:type="dxa"/>
            <w:vAlign w:val="bottom"/>
          </w:tcPr>
          <w:p>
            <w:pPr>
              <w:spacing w:after="0"/>
              <w:rPr>
                <w:sz w:val="17"/>
                <w:szCs w:val="17"/>
                <w:color w:val="auto"/>
              </w:rPr>
            </w:pPr>
          </w:p>
        </w:tc>
      </w:tr>
      <w:tr>
        <w:trPr>
          <w:trHeight w:val="189"/>
        </w:trPr>
        <w:tc>
          <w:tcPr>
            <w:tcW w:w="7720" w:type="dxa"/>
            <w:vAlign w:val="bottom"/>
            <w:shd w:val="clear" w:color="auto" w:fill="EEF2F7"/>
          </w:tcPr>
          <w:p>
            <w:pPr>
              <w:ind w:left="140"/>
              <w:spacing w:after="0"/>
              <w:rPr>
                <w:sz w:val="20"/>
                <w:szCs w:val="20"/>
                <w:color w:val="auto"/>
              </w:rPr>
            </w:pPr>
            <w:r>
              <w:rPr>
                <w:rFonts w:ascii="Arial" w:cs="Arial" w:eastAsia="Arial" w:hAnsi="Arial"/>
                <w:sz w:val="16"/>
                <w:szCs w:val="16"/>
                <w:color w:val="auto"/>
              </w:rPr>
              <w:t>Prepaid expenses, prepaid income taxes, and other current assets</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30,142</w:t>
            </w: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35,259</w:t>
            </w: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6"/>
                <w:szCs w:val="16"/>
                <w:color w:val="auto"/>
              </w:rPr>
              <w:t>Deferred contract costs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15,235</w:t>
            </w:r>
          </w:p>
        </w:tc>
        <w:tc>
          <w:tcPr>
            <w:tcW w:w="100" w:type="dxa"/>
            <w:vAlign w:val="bottom"/>
          </w:tcPr>
          <w:p>
            <w:pPr>
              <w:spacing w:after="0"/>
              <w:rPr>
                <w:sz w:val="16"/>
                <w:szCs w:val="16"/>
                <w:color w:val="auto"/>
              </w:rPr>
            </w:pPr>
          </w:p>
        </w:tc>
      </w:tr>
      <w:tr>
        <w:trPr>
          <w:trHeight w:val="183"/>
        </w:trPr>
        <w:tc>
          <w:tcPr>
            <w:tcW w:w="7720" w:type="dxa"/>
            <w:vAlign w:val="bottom"/>
            <w:shd w:val="clear" w:color="auto" w:fill="EEF2F7"/>
          </w:tcPr>
          <w:p>
            <w:pPr>
              <w:spacing w:after="0" w:line="183" w:lineRule="exact"/>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EEF2F7"/>
          </w:tcPr>
          <w:p>
            <w:pPr>
              <w:spacing w:after="0"/>
              <w:rPr>
                <w:sz w:val="15"/>
                <w:szCs w:val="15"/>
                <w:color w:val="auto"/>
              </w:rPr>
            </w:pPr>
          </w:p>
        </w:tc>
        <w:tc>
          <w:tcPr>
            <w:tcW w:w="1300" w:type="dxa"/>
            <w:vAlign w:val="bottom"/>
            <w:shd w:val="clear" w:color="auto" w:fill="EEF2F7"/>
          </w:tcPr>
          <w:p>
            <w:pPr>
              <w:jc w:val="right"/>
              <w:spacing w:after="0" w:line="183" w:lineRule="exact"/>
              <w:rPr>
                <w:sz w:val="20"/>
                <w:szCs w:val="20"/>
                <w:color w:val="auto"/>
              </w:rPr>
            </w:pPr>
            <w:r>
              <w:rPr>
                <w:rFonts w:ascii="Arial" w:cs="Arial" w:eastAsia="Arial" w:hAnsi="Arial"/>
                <w:sz w:val="16"/>
                <w:szCs w:val="16"/>
                <w:color w:val="auto"/>
              </w:rPr>
              <w:t>161,872</w:t>
            </w:r>
          </w:p>
        </w:tc>
        <w:tc>
          <w:tcPr>
            <w:tcW w:w="300" w:type="dxa"/>
            <w:vAlign w:val="bottom"/>
            <w:shd w:val="clear" w:color="auto" w:fill="EEF2F7"/>
          </w:tcPr>
          <w:p>
            <w:pPr>
              <w:spacing w:after="0"/>
              <w:rPr>
                <w:sz w:val="15"/>
                <w:szCs w:val="15"/>
                <w:color w:val="auto"/>
              </w:rPr>
            </w:pPr>
          </w:p>
        </w:tc>
        <w:tc>
          <w:tcPr>
            <w:tcW w:w="200" w:type="dxa"/>
            <w:vAlign w:val="bottom"/>
            <w:shd w:val="clear" w:color="auto" w:fill="EEF2F7"/>
          </w:tcPr>
          <w:p>
            <w:pPr>
              <w:spacing w:after="0"/>
              <w:rPr>
                <w:sz w:val="15"/>
                <w:szCs w:val="15"/>
                <w:color w:val="auto"/>
              </w:rPr>
            </w:pPr>
          </w:p>
        </w:tc>
        <w:tc>
          <w:tcPr>
            <w:tcW w:w="1360" w:type="dxa"/>
            <w:vAlign w:val="bottom"/>
            <w:shd w:val="clear" w:color="auto" w:fill="EEF2F7"/>
          </w:tcPr>
          <w:p>
            <w:pPr>
              <w:jc w:val="right"/>
              <w:spacing w:after="0" w:line="183" w:lineRule="exact"/>
              <w:rPr>
                <w:sz w:val="20"/>
                <w:szCs w:val="20"/>
                <w:color w:val="auto"/>
              </w:rPr>
            </w:pPr>
            <w:r>
              <w:rPr>
                <w:rFonts w:ascii="Arial" w:cs="Arial" w:eastAsia="Arial" w:hAnsi="Arial"/>
                <w:sz w:val="16"/>
                <w:szCs w:val="16"/>
                <w:color w:val="auto"/>
              </w:rPr>
              <w:t>282,948</w:t>
            </w:r>
          </w:p>
        </w:tc>
        <w:tc>
          <w:tcPr>
            <w:tcW w:w="100" w:type="dxa"/>
            <w:vAlign w:val="bottom"/>
            <w:shd w:val="clear" w:color="auto" w:fill="EEF2F7"/>
          </w:tcPr>
          <w:p>
            <w:pPr>
              <w:spacing w:after="0"/>
              <w:rPr>
                <w:sz w:val="15"/>
                <w:szCs w:val="15"/>
                <w:color w:val="auto"/>
              </w:rPr>
            </w:pPr>
          </w:p>
        </w:tc>
      </w:tr>
      <w:tr>
        <w:trPr>
          <w:trHeight w:val="189"/>
        </w:trPr>
        <w:tc>
          <w:tcPr>
            <w:tcW w:w="7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129,535</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132,952</w:t>
            </w:r>
          </w:p>
        </w:tc>
        <w:tc>
          <w:tcPr>
            <w:tcW w:w="100" w:type="dxa"/>
            <w:vAlign w:val="bottom"/>
          </w:tcPr>
          <w:p>
            <w:pPr>
              <w:spacing w:after="0"/>
              <w:rPr>
                <w:sz w:val="16"/>
                <w:szCs w:val="16"/>
                <w:color w:val="auto"/>
              </w:rPr>
            </w:pPr>
          </w:p>
        </w:tc>
      </w:tr>
      <w:tr>
        <w:trPr>
          <w:trHeight w:val="189"/>
        </w:trPr>
        <w:tc>
          <w:tcPr>
            <w:tcW w:w="7720" w:type="dxa"/>
            <w:vAlign w:val="bottom"/>
            <w:shd w:val="clear" w:color="auto" w:fill="EEF2F7"/>
          </w:tcPr>
          <w:p>
            <w:pPr>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2,985</w:t>
            </w: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3,253</w:t>
            </w: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28,030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28,397</w:t>
            </w:r>
          </w:p>
        </w:tc>
        <w:tc>
          <w:tcPr>
            <w:tcW w:w="100" w:type="dxa"/>
            <w:vAlign w:val="bottom"/>
          </w:tcPr>
          <w:p>
            <w:pPr>
              <w:spacing w:after="0"/>
              <w:rPr>
                <w:sz w:val="16"/>
                <w:szCs w:val="16"/>
                <w:color w:val="auto"/>
              </w:rPr>
            </w:pPr>
          </w:p>
        </w:tc>
      </w:tr>
      <w:tr>
        <w:trPr>
          <w:trHeight w:val="189"/>
        </w:trPr>
        <w:tc>
          <w:tcPr>
            <w:tcW w:w="7720" w:type="dxa"/>
            <w:vAlign w:val="bottom"/>
            <w:shd w:val="clear" w:color="auto" w:fill="EEF2F7"/>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99,237</w:t>
            </w: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115,481</w:t>
            </w: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80,154</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81,201</w:t>
            </w:r>
          </w:p>
        </w:tc>
        <w:tc>
          <w:tcPr>
            <w:tcW w:w="100" w:type="dxa"/>
            <w:vAlign w:val="bottom"/>
          </w:tcPr>
          <w:p>
            <w:pPr>
              <w:spacing w:after="0"/>
              <w:rPr>
                <w:sz w:val="16"/>
                <w:szCs w:val="16"/>
                <w:color w:val="auto"/>
              </w:rPr>
            </w:pPr>
          </w:p>
        </w:tc>
      </w:tr>
      <w:tr>
        <w:trPr>
          <w:trHeight w:val="189"/>
        </w:trPr>
        <w:tc>
          <w:tcPr>
            <w:tcW w:w="7720" w:type="dxa"/>
            <w:vAlign w:val="bottom"/>
            <w:shd w:val="clear" w:color="auto" w:fill="EEF2F7"/>
          </w:tcPr>
          <w:p>
            <w:pPr>
              <w:spacing w:after="0"/>
              <w:rPr>
                <w:sz w:val="20"/>
                <w:szCs w:val="20"/>
                <w:color w:val="auto"/>
              </w:rPr>
            </w:pPr>
            <w:r>
              <w:rPr>
                <w:rFonts w:ascii="Arial" w:cs="Arial" w:eastAsia="Arial" w:hAnsi="Arial"/>
                <w:sz w:val="16"/>
                <w:szCs w:val="16"/>
                <w:color w:val="auto"/>
              </w:rPr>
              <w:t>Deferred contract costs, net of current portion</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13,322</w:t>
            </w: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13,563</w:t>
            </w: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4,478</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6"/>
                <w:szCs w:val="16"/>
                <w:color w:val="auto"/>
              </w:rPr>
            </w:pPr>
          </w:p>
        </w:tc>
      </w:tr>
      <w:tr>
        <w:trPr>
          <w:trHeight w:val="223"/>
        </w:trPr>
        <w:tc>
          <w:tcPr>
            <w:tcW w:w="7720" w:type="dxa"/>
            <w:vAlign w:val="bottom"/>
            <w:shd w:val="clear" w:color="auto" w:fill="EEF2F7"/>
          </w:tcPr>
          <w:p>
            <w:pPr>
              <w:spacing w:after="0" w:line="183" w:lineRule="exact"/>
              <w:rPr>
                <w:sz w:val="20"/>
                <w:szCs w:val="20"/>
                <w:color w:val="auto"/>
              </w:rPr>
            </w:pPr>
            <w:r>
              <w:rPr>
                <w:rFonts w:ascii="Arial" w:cs="Arial" w:eastAsia="Arial" w:hAnsi="Arial"/>
                <w:sz w:val="16"/>
                <w:szCs w:val="16"/>
                <w:color w:val="auto"/>
              </w:rPr>
              <w:t>Total assets</w:t>
            </w:r>
          </w:p>
        </w:tc>
        <w:tc>
          <w:tcPr>
            <w:tcW w:w="260" w:type="dxa"/>
            <w:vAlign w:val="bottom"/>
            <w:shd w:val="clear" w:color="auto" w:fill="EEF2F7"/>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EF2F7"/>
          </w:tcPr>
          <w:p>
            <w:pPr>
              <w:jc w:val="right"/>
              <w:spacing w:after="0" w:line="183" w:lineRule="exact"/>
              <w:rPr>
                <w:sz w:val="20"/>
                <w:szCs w:val="20"/>
                <w:color w:val="auto"/>
              </w:rPr>
            </w:pPr>
            <w:r>
              <w:rPr>
                <w:rFonts w:ascii="Arial" w:cs="Arial" w:eastAsia="Arial" w:hAnsi="Arial"/>
                <w:sz w:val="16"/>
                <w:szCs w:val="16"/>
                <w:color w:val="auto"/>
              </w:rPr>
              <w:t>519,613</w:t>
            </w:r>
          </w:p>
        </w:tc>
        <w:tc>
          <w:tcPr>
            <w:tcW w:w="500" w:type="dxa"/>
            <w:vAlign w:val="bottom"/>
            <w:gridSpan w:val="2"/>
            <w:shd w:val="clear" w:color="auto" w:fill="EEF2F7"/>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EEF2F7"/>
          </w:tcPr>
          <w:p>
            <w:pPr>
              <w:jc w:val="right"/>
              <w:spacing w:after="0" w:line="183" w:lineRule="exact"/>
              <w:rPr>
                <w:sz w:val="20"/>
                <w:szCs w:val="20"/>
                <w:color w:val="auto"/>
              </w:rPr>
            </w:pPr>
            <w:r>
              <w:rPr>
                <w:rFonts w:ascii="Arial" w:cs="Arial" w:eastAsia="Arial" w:hAnsi="Arial"/>
                <w:sz w:val="16"/>
                <w:szCs w:val="16"/>
                <w:color w:val="auto"/>
              </w:rPr>
              <w:t>661,897</w:t>
            </w:r>
          </w:p>
        </w:tc>
        <w:tc>
          <w:tcPr>
            <w:tcW w:w="100" w:type="dxa"/>
            <w:vAlign w:val="bottom"/>
            <w:shd w:val="clear" w:color="auto" w:fill="EEF2F7"/>
          </w:tcPr>
          <w:p>
            <w:pPr>
              <w:spacing w:after="0"/>
              <w:rPr>
                <w:sz w:val="19"/>
                <w:szCs w:val="19"/>
                <w:color w:val="auto"/>
              </w:rPr>
            </w:pPr>
          </w:p>
        </w:tc>
      </w:tr>
      <w:tr>
        <w:trPr>
          <w:trHeight w:val="170"/>
        </w:trPr>
        <w:tc>
          <w:tcPr>
            <w:tcW w:w="7720" w:type="dxa"/>
            <w:vAlign w:val="bottom"/>
            <w:tcBorders>
              <w:top w:val="single" w:sz="8" w:color="EEF2F7"/>
            </w:tcBorders>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00" w:type="dxa"/>
            <w:vAlign w:val="bottom"/>
            <w:tcBorders>
              <w:top w:val="single" w:sz="8" w:color="EEF2F7"/>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EEF2F7"/>
            </w:tcBorders>
          </w:tcPr>
          <w:p>
            <w:pPr>
              <w:spacing w:after="0"/>
              <w:rPr>
                <w:sz w:val="14"/>
                <w:szCs w:val="14"/>
                <w:color w:val="auto"/>
              </w:rPr>
            </w:pPr>
          </w:p>
        </w:tc>
      </w:tr>
      <w:tr>
        <w:trPr>
          <w:trHeight w:val="189"/>
        </w:trPr>
        <w:tc>
          <w:tcPr>
            <w:tcW w:w="7720" w:type="dxa"/>
            <w:vAlign w:val="bottom"/>
            <w:shd w:val="clear" w:color="auto" w:fill="EEF2F7"/>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spacing w:after="0"/>
              <w:rPr>
                <w:sz w:val="16"/>
                <w:szCs w:val="16"/>
                <w:color w:val="auto"/>
              </w:rPr>
            </w:pP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spacing w:after="0"/>
              <w:rPr>
                <w:sz w:val="16"/>
                <w:szCs w:val="16"/>
                <w:color w:val="auto"/>
              </w:rPr>
            </w:pP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30,690</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29,115</w:t>
            </w:r>
          </w:p>
        </w:tc>
        <w:tc>
          <w:tcPr>
            <w:tcW w:w="100" w:type="dxa"/>
            <w:vAlign w:val="bottom"/>
          </w:tcPr>
          <w:p>
            <w:pPr>
              <w:spacing w:after="0"/>
              <w:rPr>
                <w:sz w:val="16"/>
                <w:szCs w:val="16"/>
                <w:color w:val="auto"/>
              </w:rPr>
            </w:pPr>
          </w:p>
        </w:tc>
      </w:tr>
      <w:tr>
        <w:trPr>
          <w:trHeight w:val="189"/>
        </w:trPr>
        <w:tc>
          <w:tcPr>
            <w:tcW w:w="7720" w:type="dxa"/>
            <w:vAlign w:val="bottom"/>
            <w:shd w:val="clear" w:color="auto" w:fill="EEF2F7"/>
          </w:tcPr>
          <w:p>
            <w:pPr>
              <w:ind w:left="140"/>
              <w:spacing w:after="0"/>
              <w:rPr>
                <w:sz w:val="20"/>
                <w:szCs w:val="20"/>
                <w:color w:val="auto"/>
              </w:rPr>
            </w:pPr>
            <w:r>
              <w:rPr>
                <w:rFonts w:ascii="Arial" w:cs="Arial" w:eastAsia="Arial" w:hAnsi="Arial"/>
                <w:sz w:val="16"/>
                <w:szCs w:val="16"/>
                <w:color w:val="auto"/>
              </w:rPr>
              <w:t>Accrued expenses, accrued income taxes, and other current liabilities</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32,984</w:t>
            </w: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38,393</w:t>
            </w: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24,656</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23,562</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EEF2F7"/>
            </w:tcBorders>
            <w:shd w:val="clear" w:color="auto" w:fill="EEF2F7"/>
          </w:tcPr>
          <w:p>
            <w:pPr>
              <w:ind w:left="140"/>
              <w:spacing w:after="0"/>
              <w:rPr>
                <w:sz w:val="20"/>
                <w:szCs w:val="20"/>
                <w:color w:val="auto"/>
              </w:rPr>
            </w:pPr>
            <w:r>
              <w:rPr>
                <w:rFonts w:ascii="Arial" w:cs="Arial" w:eastAsia="Arial" w:hAnsi="Arial"/>
                <w:sz w:val="16"/>
                <w:szCs w:val="16"/>
                <w:color w:val="auto"/>
              </w:rPr>
              <w:t>Operating lease liabilities</w:t>
            </w:r>
          </w:p>
        </w:tc>
        <w:tc>
          <w:tcPr>
            <w:tcW w:w="260" w:type="dxa"/>
            <w:vAlign w:val="bottom"/>
            <w:tcBorders>
              <w:bottom w:val="single" w:sz="8" w:color="auto"/>
            </w:tcBorders>
            <w:shd w:val="clear" w:color="auto" w:fill="EEF2F7"/>
          </w:tcPr>
          <w:p>
            <w:pPr>
              <w:spacing w:after="0"/>
              <w:rPr>
                <w:sz w:val="16"/>
                <w:szCs w:val="16"/>
                <w:color w:val="auto"/>
              </w:rPr>
            </w:pPr>
          </w:p>
        </w:tc>
        <w:tc>
          <w:tcPr>
            <w:tcW w:w="1300" w:type="dxa"/>
            <w:vAlign w:val="bottom"/>
            <w:tcBorders>
              <w:bottom w:val="single" w:sz="8" w:color="auto"/>
            </w:tcBorders>
            <w:shd w:val="clear" w:color="auto" w:fill="EEF2F7"/>
          </w:tcPr>
          <w:p>
            <w:pPr>
              <w:jc w:val="right"/>
              <w:spacing w:after="0"/>
              <w:rPr>
                <w:sz w:val="20"/>
                <w:szCs w:val="20"/>
                <w:color w:val="auto"/>
              </w:rPr>
            </w:pPr>
            <w:r>
              <w:rPr>
                <w:rFonts w:ascii="Arial" w:cs="Arial" w:eastAsia="Arial" w:hAnsi="Arial"/>
                <w:sz w:val="16"/>
                <w:szCs w:val="16"/>
                <w:color w:val="auto"/>
              </w:rPr>
              <w:t>9,621</w:t>
            </w:r>
          </w:p>
        </w:tc>
        <w:tc>
          <w:tcPr>
            <w:tcW w:w="300" w:type="dxa"/>
            <w:vAlign w:val="bottom"/>
            <w:tcBorders>
              <w:bottom w:val="single" w:sz="8" w:color="EEF2F7"/>
            </w:tcBorders>
            <w:shd w:val="clear" w:color="auto" w:fill="EEF2F7"/>
          </w:tcPr>
          <w:p>
            <w:pPr>
              <w:spacing w:after="0"/>
              <w:rPr>
                <w:sz w:val="16"/>
                <w:szCs w:val="16"/>
                <w:color w:val="auto"/>
              </w:rPr>
            </w:pPr>
          </w:p>
        </w:tc>
        <w:tc>
          <w:tcPr>
            <w:tcW w:w="200" w:type="dxa"/>
            <w:vAlign w:val="bottom"/>
            <w:tcBorders>
              <w:bottom w:val="single" w:sz="8" w:color="auto"/>
            </w:tcBorders>
            <w:shd w:val="clear" w:color="auto" w:fill="EEF2F7"/>
          </w:tcPr>
          <w:p>
            <w:pPr>
              <w:spacing w:after="0"/>
              <w:rPr>
                <w:sz w:val="16"/>
                <w:szCs w:val="16"/>
                <w:color w:val="auto"/>
              </w:rPr>
            </w:pPr>
          </w:p>
        </w:tc>
        <w:tc>
          <w:tcPr>
            <w:tcW w:w="1360" w:type="dxa"/>
            <w:vAlign w:val="bottom"/>
            <w:tcBorders>
              <w:bottom w:val="single" w:sz="8" w:color="auto"/>
            </w:tcBorders>
            <w:shd w:val="clear" w:color="auto" w:fill="EEF2F7"/>
          </w:tcPr>
          <w:p>
            <w:pPr>
              <w:jc w:val="right"/>
              <w:spacing w:after="0"/>
              <w:rPr>
                <w:sz w:val="20"/>
                <w:szCs w:val="20"/>
                <w:color w:val="auto"/>
              </w:rPr>
            </w:pPr>
            <w:r>
              <w:rPr>
                <w:rFonts w:ascii="Arial" w:cs="Arial" w:eastAsia="Arial" w:hAnsi="Arial"/>
                <w:sz w:val="16"/>
                <w:szCs w:val="16"/>
                <w:color w:val="auto"/>
              </w:rPr>
              <w:t>9,469</w:t>
            </w:r>
          </w:p>
        </w:tc>
        <w:tc>
          <w:tcPr>
            <w:tcW w:w="100" w:type="dxa"/>
            <w:vAlign w:val="bottom"/>
            <w:tcBorders>
              <w:bottom w:val="single" w:sz="8" w:color="EEF2F7"/>
            </w:tcBorders>
            <w:shd w:val="clear" w:color="auto" w:fill="EEF2F7"/>
          </w:tcPr>
          <w:p>
            <w:pPr>
              <w:spacing w:after="0"/>
              <w:rPr>
                <w:sz w:val="16"/>
                <w:szCs w:val="16"/>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97,951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100,539</w:t>
            </w:r>
          </w:p>
        </w:tc>
        <w:tc>
          <w:tcPr>
            <w:tcW w:w="100" w:type="dxa"/>
            <w:vAlign w:val="bottom"/>
          </w:tcPr>
          <w:p>
            <w:pPr>
              <w:spacing w:after="0"/>
              <w:rPr>
                <w:sz w:val="15"/>
                <w:szCs w:val="15"/>
                <w:color w:val="auto"/>
              </w:rPr>
            </w:pPr>
          </w:p>
        </w:tc>
      </w:tr>
      <w:tr>
        <w:trPr>
          <w:trHeight w:val="189"/>
        </w:trPr>
        <w:tc>
          <w:tcPr>
            <w:tcW w:w="7720" w:type="dxa"/>
            <w:vAlign w:val="bottom"/>
            <w:shd w:val="clear" w:color="auto" w:fill="EEF2F7"/>
          </w:tcPr>
          <w:p>
            <w:pPr>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178,374</w:t>
            </w: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181,364</w:t>
            </w: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438</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EEF2F7"/>
            </w:tcBorders>
            <w:shd w:val="clear" w:color="auto" w:fill="EEF2F7"/>
          </w:tcPr>
          <w:p>
            <w:pPr>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shd w:val="clear" w:color="auto" w:fill="EEF2F7"/>
          </w:tcPr>
          <w:p>
            <w:pPr>
              <w:spacing w:after="0"/>
              <w:rPr>
                <w:sz w:val="16"/>
                <w:szCs w:val="16"/>
                <w:color w:val="auto"/>
              </w:rPr>
            </w:pPr>
          </w:p>
        </w:tc>
        <w:tc>
          <w:tcPr>
            <w:tcW w:w="1300" w:type="dxa"/>
            <w:vAlign w:val="bottom"/>
            <w:tcBorders>
              <w:bottom w:val="single" w:sz="8" w:color="auto"/>
            </w:tcBorders>
            <w:shd w:val="clear" w:color="auto" w:fill="EEF2F7"/>
          </w:tcPr>
          <w:p>
            <w:pPr>
              <w:jc w:val="right"/>
              <w:spacing w:after="0"/>
              <w:rPr>
                <w:sz w:val="20"/>
                <w:szCs w:val="20"/>
                <w:color w:val="auto"/>
              </w:rPr>
            </w:pPr>
            <w:r>
              <w:rPr>
                <w:rFonts w:ascii="Arial" w:cs="Arial" w:eastAsia="Arial" w:hAnsi="Arial"/>
                <w:sz w:val="16"/>
                <w:szCs w:val="16"/>
                <w:color w:val="auto"/>
              </w:rPr>
              <w:t>5,722</w:t>
            </w:r>
          </w:p>
        </w:tc>
        <w:tc>
          <w:tcPr>
            <w:tcW w:w="300" w:type="dxa"/>
            <w:vAlign w:val="bottom"/>
            <w:tcBorders>
              <w:bottom w:val="single" w:sz="8" w:color="EEF2F7"/>
            </w:tcBorders>
            <w:shd w:val="clear" w:color="auto" w:fill="EEF2F7"/>
          </w:tcPr>
          <w:p>
            <w:pPr>
              <w:spacing w:after="0"/>
              <w:rPr>
                <w:sz w:val="16"/>
                <w:szCs w:val="16"/>
                <w:color w:val="auto"/>
              </w:rPr>
            </w:pPr>
          </w:p>
        </w:tc>
        <w:tc>
          <w:tcPr>
            <w:tcW w:w="200" w:type="dxa"/>
            <w:vAlign w:val="bottom"/>
            <w:tcBorders>
              <w:bottom w:val="single" w:sz="8" w:color="auto"/>
            </w:tcBorders>
            <w:shd w:val="clear" w:color="auto" w:fill="EEF2F7"/>
          </w:tcPr>
          <w:p>
            <w:pPr>
              <w:spacing w:after="0"/>
              <w:rPr>
                <w:sz w:val="16"/>
                <w:szCs w:val="16"/>
                <w:color w:val="auto"/>
              </w:rPr>
            </w:pPr>
          </w:p>
        </w:tc>
        <w:tc>
          <w:tcPr>
            <w:tcW w:w="1360" w:type="dxa"/>
            <w:vAlign w:val="bottom"/>
            <w:tcBorders>
              <w:bottom w:val="single" w:sz="8" w:color="auto"/>
            </w:tcBorders>
            <w:shd w:val="clear" w:color="auto" w:fill="EEF2F7"/>
          </w:tcPr>
          <w:p>
            <w:pPr>
              <w:jc w:val="right"/>
              <w:spacing w:after="0"/>
              <w:rPr>
                <w:sz w:val="20"/>
                <w:szCs w:val="20"/>
                <w:color w:val="auto"/>
              </w:rPr>
            </w:pPr>
            <w:r>
              <w:rPr>
                <w:rFonts w:ascii="Arial" w:cs="Arial" w:eastAsia="Arial" w:hAnsi="Arial"/>
                <w:sz w:val="16"/>
                <w:szCs w:val="16"/>
                <w:color w:val="auto"/>
              </w:rPr>
              <w:t>5,354</w:t>
            </w:r>
          </w:p>
        </w:tc>
        <w:tc>
          <w:tcPr>
            <w:tcW w:w="100" w:type="dxa"/>
            <w:vAlign w:val="bottom"/>
            <w:tcBorders>
              <w:bottom w:val="single" w:sz="8" w:color="EEF2F7"/>
            </w:tcBorders>
            <w:shd w:val="clear" w:color="auto" w:fill="EEF2F7"/>
          </w:tcPr>
          <w:p>
            <w:pPr>
              <w:spacing w:after="0"/>
              <w:rPr>
                <w:sz w:val="16"/>
                <w:szCs w:val="16"/>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282,485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287,699</w:t>
            </w:r>
          </w:p>
        </w:tc>
        <w:tc>
          <w:tcPr>
            <w:tcW w:w="100" w:type="dxa"/>
            <w:vAlign w:val="bottom"/>
          </w:tcPr>
          <w:p>
            <w:pPr>
              <w:spacing w:after="0"/>
              <w:rPr>
                <w:sz w:val="15"/>
                <w:szCs w:val="15"/>
                <w:color w:val="auto"/>
              </w:rPr>
            </w:pPr>
          </w:p>
        </w:tc>
      </w:tr>
      <w:tr>
        <w:trPr>
          <w:trHeight w:val="189"/>
        </w:trPr>
        <w:tc>
          <w:tcPr>
            <w:tcW w:w="7720" w:type="dxa"/>
            <w:vAlign w:val="bottom"/>
            <w:shd w:val="clear" w:color="auto" w:fill="EEF2F7"/>
          </w:tcPr>
          <w:p>
            <w:pPr>
              <w:spacing w:after="0"/>
              <w:rPr>
                <w:sz w:val="20"/>
                <w:szCs w:val="20"/>
                <w:color w:val="auto"/>
              </w:rPr>
            </w:pPr>
            <w:r>
              <w:rPr>
                <w:rFonts w:ascii="Arial" w:cs="Arial" w:eastAsia="Arial" w:hAnsi="Arial"/>
                <w:sz w:val="16"/>
                <w:szCs w:val="16"/>
                <w:color w:val="auto"/>
              </w:rPr>
              <w:t>Commitments and contingencies (Note 9)</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spacing w:after="0"/>
              <w:rPr>
                <w:sz w:val="16"/>
                <w:szCs w:val="16"/>
                <w:color w:val="auto"/>
              </w:rPr>
            </w:pP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spacing w:after="0"/>
              <w:rPr>
                <w:sz w:val="16"/>
                <w:szCs w:val="16"/>
                <w:color w:val="auto"/>
              </w:rPr>
            </w:pP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7720" w:type="dxa"/>
            <w:vAlign w:val="bottom"/>
            <w:shd w:val="clear" w:color="auto" w:fill="EEF2F7"/>
          </w:tcPr>
          <w:p>
            <w:pPr>
              <w:ind w:left="140"/>
              <w:spacing w:after="0" w:line="175" w:lineRule="exact"/>
              <w:rPr>
                <w:sz w:val="20"/>
                <w:szCs w:val="20"/>
                <w:color w:val="auto"/>
              </w:rPr>
            </w:pPr>
            <w:r>
              <w:rPr>
                <w:rFonts w:ascii="Arial" w:cs="Arial" w:eastAsia="Arial" w:hAnsi="Arial"/>
                <w:sz w:val="16"/>
                <w:szCs w:val="16"/>
                <w:color w:val="auto"/>
              </w:rPr>
              <w:t>Preferred stock, $0.001 par value per share; 10,000,000 shares authorized;</w:t>
            </w:r>
          </w:p>
        </w:tc>
        <w:tc>
          <w:tcPr>
            <w:tcW w:w="260" w:type="dxa"/>
            <w:vAlign w:val="bottom"/>
            <w:shd w:val="clear" w:color="auto" w:fill="EEF2F7"/>
          </w:tcPr>
          <w:p>
            <w:pPr>
              <w:spacing w:after="0"/>
              <w:rPr>
                <w:sz w:val="15"/>
                <w:szCs w:val="15"/>
                <w:color w:val="auto"/>
              </w:rPr>
            </w:pPr>
          </w:p>
        </w:tc>
        <w:tc>
          <w:tcPr>
            <w:tcW w:w="1300" w:type="dxa"/>
            <w:vAlign w:val="bottom"/>
            <w:shd w:val="clear" w:color="auto" w:fill="EEF2F7"/>
          </w:tcPr>
          <w:p>
            <w:pPr>
              <w:spacing w:after="0"/>
              <w:rPr>
                <w:sz w:val="15"/>
                <w:szCs w:val="15"/>
                <w:color w:val="auto"/>
              </w:rPr>
            </w:pPr>
          </w:p>
        </w:tc>
        <w:tc>
          <w:tcPr>
            <w:tcW w:w="300" w:type="dxa"/>
            <w:vAlign w:val="bottom"/>
            <w:shd w:val="clear" w:color="auto" w:fill="EEF2F7"/>
          </w:tcPr>
          <w:p>
            <w:pPr>
              <w:spacing w:after="0"/>
              <w:rPr>
                <w:sz w:val="15"/>
                <w:szCs w:val="15"/>
                <w:color w:val="auto"/>
              </w:rPr>
            </w:pPr>
          </w:p>
        </w:tc>
        <w:tc>
          <w:tcPr>
            <w:tcW w:w="200" w:type="dxa"/>
            <w:vAlign w:val="bottom"/>
            <w:shd w:val="clear" w:color="auto" w:fill="EEF2F7"/>
          </w:tcPr>
          <w:p>
            <w:pPr>
              <w:spacing w:after="0"/>
              <w:rPr>
                <w:sz w:val="15"/>
                <w:szCs w:val="15"/>
                <w:color w:val="auto"/>
              </w:rPr>
            </w:pPr>
          </w:p>
        </w:tc>
        <w:tc>
          <w:tcPr>
            <w:tcW w:w="1360" w:type="dxa"/>
            <w:vAlign w:val="bottom"/>
            <w:shd w:val="clear" w:color="auto" w:fill="EEF2F7"/>
          </w:tcPr>
          <w:p>
            <w:pPr>
              <w:spacing w:after="0"/>
              <w:rPr>
                <w:sz w:val="15"/>
                <w:szCs w:val="15"/>
                <w:color w:val="auto"/>
              </w:rPr>
            </w:pPr>
          </w:p>
        </w:tc>
        <w:tc>
          <w:tcPr>
            <w:tcW w:w="100" w:type="dxa"/>
            <w:vAlign w:val="bottom"/>
            <w:shd w:val="clear" w:color="auto" w:fill="EEF2F7"/>
          </w:tcPr>
          <w:p>
            <w:pPr>
              <w:spacing w:after="0"/>
              <w:rPr>
                <w:sz w:val="15"/>
                <w:szCs w:val="15"/>
                <w:color w:val="auto"/>
              </w:rPr>
            </w:pPr>
          </w:p>
        </w:tc>
      </w:tr>
      <w:tr>
        <w:trPr>
          <w:trHeight w:val="203"/>
        </w:trPr>
        <w:tc>
          <w:tcPr>
            <w:tcW w:w="7720" w:type="dxa"/>
            <w:vAlign w:val="bottom"/>
            <w:shd w:val="clear" w:color="auto" w:fill="EEF2F7"/>
          </w:tcPr>
          <w:p>
            <w:pPr>
              <w:ind w:left="280"/>
              <w:spacing w:after="0"/>
              <w:rPr>
                <w:sz w:val="20"/>
                <w:szCs w:val="20"/>
                <w:color w:val="auto"/>
              </w:rPr>
            </w:pPr>
            <w:r>
              <w:rPr>
                <w:rFonts w:ascii="Arial" w:cs="Arial" w:eastAsia="Arial" w:hAnsi="Arial"/>
                <w:sz w:val="16"/>
                <w:szCs w:val="16"/>
                <w:color w:val="auto"/>
              </w:rPr>
              <w:t>no shares issued and outstanding</w:t>
            </w:r>
          </w:p>
        </w:tc>
        <w:tc>
          <w:tcPr>
            <w:tcW w:w="260" w:type="dxa"/>
            <w:vAlign w:val="bottom"/>
            <w:shd w:val="clear" w:color="auto" w:fill="EEF2F7"/>
          </w:tcPr>
          <w:p>
            <w:pPr>
              <w:spacing w:after="0"/>
              <w:rPr>
                <w:sz w:val="17"/>
                <w:szCs w:val="17"/>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EF2F7"/>
          </w:tcPr>
          <w:p>
            <w:pPr>
              <w:spacing w:after="0"/>
              <w:rPr>
                <w:sz w:val="17"/>
                <w:szCs w:val="17"/>
                <w:color w:val="auto"/>
              </w:rPr>
            </w:pPr>
          </w:p>
        </w:tc>
        <w:tc>
          <w:tcPr>
            <w:tcW w:w="200" w:type="dxa"/>
            <w:vAlign w:val="bottom"/>
            <w:shd w:val="clear" w:color="auto" w:fill="EEF2F7"/>
          </w:tcPr>
          <w:p>
            <w:pPr>
              <w:spacing w:after="0"/>
              <w:rPr>
                <w:sz w:val="17"/>
                <w:szCs w:val="17"/>
                <w:color w:val="auto"/>
              </w:rPr>
            </w:pPr>
          </w:p>
        </w:tc>
        <w:tc>
          <w:tcPr>
            <w:tcW w:w="1460" w:type="dxa"/>
            <w:vAlign w:val="bottom"/>
            <w:gridSpan w:val="2"/>
            <w:shd w:val="clear" w:color="auto" w:fill="EEF2F7"/>
          </w:tcPr>
          <w:p>
            <w:pPr>
              <w:jc w:val="right"/>
              <w:ind w:right="120"/>
              <w:spacing w:after="0"/>
              <w:rPr>
                <w:sz w:val="20"/>
                <w:szCs w:val="20"/>
                <w:color w:val="auto"/>
              </w:rPr>
            </w:pPr>
            <w:r>
              <w:rPr>
                <w:rFonts w:ascii="Arial" w:cs="Arial" w:eastAsia="Arial" w:hAnsi="Arial"/>
                <w:sz w:val="16"/>
                <w:szCs w:val="16"/>
                <w:color w:val="auto"/>
              </w:rPr>
              <w:t>—</w:t>
            </w:r>
          </w:p>
        </w:tc>
      </w:tr>
      <w:tr>
        <w:trPr>
          <w:trHeight w:val="175"/>
        </w:trPr>
        <w:tc>
          <w:tcPr>
            <w:tcW w:w="7720" w:type="dxa"/>
            <w:vAlign w:val="bottom"/>
          </w:tcPr>
          <w:p>
            <w:pPr>
              <w:ind w:left="140"/>
              <w:spacing w:after="0" w:line="175" w:lineRule="exact"/>
              <w:rPr>
                <w:sz w:val="20"/>
                <w:szCs w:val="20"/>
                <w:color w:val="auto"/>
              </w:rPr>
            </w:pPr>
            <w:r>
              <w:rPr>
                <w:rFonts w:ascii="Arial" w:cs="Arial" w:eastAsia="Arial" w:hAnsi="Arial"/>
                <w:sz w:val="16"/>
                <w:szCs w:val="16"/>
                <w:color w:val="auto"/>
              </w:rPr>
              <w:t>Class A common stock, $0.001 par value per share; 500,000,000 shares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authorized; 75,673,609 and 80,667,475 shares issued and outstanding</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20" w:type="dxa"/>
            <w:vAlign w:val="bottom"/>
          </w:tcPr>
          <w:p>
            <w:pPr>
              <w:ind w:left="280"/>
              <w:spacing w:after="0"/>
              <w:rPr>
                <w:sz w:val="20"/>
                <w:szCs w:val="20"/>
                <w:color w:val="auto"/>
              </w:rPr>
            </w:pPr>
            <w:r>
              <w:rPr>
                <w:rFonts w:ascii="Arial" w:cs="Arial" w:eastAsia="Arial" w:hAnsi="Arial"/>
                <w:sz w:val="16"/>
                <w:szCs w:val="16"/>
                <w:color w:val="auto"/>
              </w:rPr>
              <w:t>at March 31, 2026 and December 31, 2025, respectively</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r>
      <w:tr>
        <w:trPr>
          <w:trHeight w:val="175"/>
        </w:trPr>
        <w:tc>
          <w:tcPr>
            <w:tcW w:w="7720" w:type="dxa"/>
            <w:vAlign w:val="bottom"/>
            <w:shd w:val="clear" w:color="auto" w:fill="EEF2F7"/>
          </w:tcPr>
          <w:p>
            <w:pPr>
              <w:ind w:left="140"/>
              <w:spacing w:after="0" w:line="175" w:lineRule="exact"/>
              <w:rPr>
                <w:sz w:val="20"/>
                <w:szCs w:val="20"/>
                <w:color w:val="auto"/>
              </w:rPr>
            </w:pPr>
            <w:r>
              <w:rPr>
                <w:rFonts w:ascii="Arial" w:cs="Arial" w:eastAsia="Arial" w:hAnsi="Arial"/>
                <w:sz w:val="16"/>
                <w:szCs w:val="16"/>
                <w:color w:val="auto"/>
              </w:rPr>
              <w:t>Class B common stock, $0.001 par value per share; 100,000,000 shares</w:t>
            </w:r>
          </w:p>
        </w:tc>
        <w:tc>
          <w:tcPr>
            <w:tcW w:w="260" w:type="dxa"/>
            <w:vAlign w:val="bottom"/>
            <w:shd w:val="clear" w:color="auto" w:fill="EEF2F7"/>
          </w:tcPr>
          <w:p>
            <w:pPr>
              <w:spacing w:after="0"/>
              <w:rPr>
                <w:sz w:val="15"/>
                <w:szCs w:val="15"/>
                <w:color w:val="auto"/>
              </w:rPr>
            </w:pPr>
          </w:p>
        </w:tc>
        <w:tc>
          <w:tcPr>
            <w:tcW w:w="1300" w:type="dxa"/>
            <w:vAlign w:val="bottom"/>
            <w:shd w:val="clear" w:color="auto" w:fill="EEF2F7"/>
          </w:tcPr>
          <w:p>
            <w:pPr>
              <w:spacing w:after="0"/>
              <w:rPr>
                <w:sz w:val="15"/>
                <w:szCs w:val="15"/>
                <w:color w:val="auto"/>
              </w:rPr>
            </w:pPr>
          </w:p>
        </w:tc>
        <w:tc>
          <w:tcPr>
            <w:tcW w:w="300" w:type="dxa"/>
            <w:vAlign w:val="bottom"/>
            <w:shd w:val="clear" w:color="auto" w:fill="EEF2F7"/>
          </w:tcPr>
          <w:p>
            <w:pPr>
              <w:spacing w:after="0"/>
              <w:rPr>
                <w:sz w:val="15"/>
                <w:szCs w:val="15"/>
                <w:color w:val="auto"/>
              </w:rPr>
            </w:pPr>
          </w:p>
        </w:tc>
        <w:tc>
          <w:tcPr>
            <w:tcW w:w="200" w:type="dxa"/>
            <w:vAlign w:val="bottom"/>
            <w:shd w:val="clear" w:color="auto" w:fill="EEF2F7"/>
          </w:tcPr>
          <w:p>
            <w:pPr>
              <w:spacing w:after="0"/>
              <w:rPr>
                <w:sz w:val="15"/>
                <w:szCs w:val="15"/>
                <w:color w:val="auto"/>
              </w:rPr>
            </w:pPr>
          </w:p>
        </w:tc>
        <w:tc>
          <w:tcPr>
            <w:tcW w:w="1360" w:type="dxa"/>
            <w:vAlign w:val="bottom"/>
            <w:shd w:val="clear" w:color="auto" w:fill="EEF2F7"/>
          </w:tcPr>
          <w:p>
            <w:pPr>
              <w:spacing w:after="0"/>
              <w:rPr>
                <w:sz w:val="15"/>
                <w:szCs w:val="15"/>
                <w:color w:val="auto"/>
              </w:rPr>
            </w:pPr>
          </w:p>
        </w:tc>
        <w:tc>
          <w:tcPr>
            <w:tcW w:w="100" w:type="dxa"/>
            <w:vAlign w:val="bottom"/>
            <w:shd w:val="clear" w:color="auto" w:fill="EEF2F7"/>
          </w:tcPr>
          <w:p>
            <w:pPr>
              <w:spacing w:after="0"/>
              <w:rPr>
                <w:sz w:val="15"/>
                <w:szCs w:val="15"/>
                <w:color w:val="auto"/>
              </w:rPr>
            </w:pPr>
          </w:p>
        </w:tc>
      </w:tr>
      <w:tr>
        <w:trPr>
          <w:trHeight w:val="189"/>
        </w:trPr>
        <w:tc>
          <w:tcPr>
            <w:tcW w:w="7720" w:type="dxa"/>
            <w:vAlign w:val="bottom"/>
            <w:shd w:val="clear" w:color="auto" w:fill="EEF2F7"/>
          </w:tcPr>
          <w:p>
            <w:pPr>
              <w:ind w:left="280"/>
              <w:spacing w:after="0"/>
              <w:rPr>
                <w:sz w:val="20"/>
                <w:szCs w:val="20"/>
                <w:color w:val="auto"/>
              </w:rPr>
            </w:pPr>
            <w:r>
              <w:rPr>
                <w:rFonts w:ascii="Arial" w:cs="Arial" w:eastAsia="Arial" w:hAnsi="Arial"/>
                <w:sz w:val="16"/>
                <w:szCs w:val="16"/>
                <w:color w:val="auto"/>
              </w:rPr>
              <w:t>authorized; 14,216,250 and 14,216,250 shares issued and outstanding</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spacing w:after="0"/>
              <w:rPr>
                <w:sz w:val="16"/>
                <w:szCs w:val="16"/>
                <w:color w:val="auto"/>
              </w:rPr>
            </w:pP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spacing w:after="0"/>
              <w:rPr>
                <w:sz w:val="16"/>
                <w:szCs w:val="16"/>
                <w:color w:val="auto"/>
              </w:rPr>
            </w:pPr>
          </w:p>
        </w:tc>
        <w:tc>
          <w:tcPr>
            <w:tcW w:w="100" w:type="dxa"/>
            <w:vAlign w:val="bottom"/>
            <w:shd w:val="clear" w:color="auto" w:fill="EEF2F7"/>
          </w:tcPr>
          <w:p>
            <w:pPr>
              <w:spacing w:after="0"/>
              <w:rPr>
                <w:sz w:val="16"/>
                <w:szCs w:val="16"/>
                <w:color w:val="auto"/>
              </w:rPr>
            </w:pPr>
          </w:p>
        </w:tc>
      </w:tr>
      <w:tr>
        <w:trPr>
          <w:trHeight w:val="203"/>
        </w:trPr>
        <w:tc>
          <w:tcPr>
            <w:tcW w:w="7720" w:type="dxa"/>
            <w:vAlign w:val="bottom"/>
            <w:shd w:val="clear" w:color="auto" w:fill="EEF2F7"/>
          </w:tcPr>
          <w:p>
            <w:pPr>
              <w:ind w:left="280"/>
              <w:spacing w:after="0"/>
              <w:rPr>
                <w:sz w:val="20"/>
                <w:szCs w:val="20"/>
                <w:color w:val="auto"/>
              </w:rPr>
            </w:pPr>
            <w:r>
              <w:rPr>
                <w:rFonts w:ascii="Arial" w:cs="Arial" w:eastAsia="Arial" w:hAnsi="Arial"/>
                <w:sz w:val="16"/>
                <w:szCs w:val="16"/>
                <w:color w:val="auto"/>
              </w:rPr>
              <w:t>at March 31, 2026 and December 31, 2025, respectively</w:t>
            </w:r>
          </w:p>
        </w:tc>
        <w:tc>
          <w:tcPr>
            <w:tcW w:w="260" w:type="dxa"/>
            <w:vAlign w:val="bottom"/>
            <w:shd w:val="clear" w:color="auto" w:fill="EEF2F7"/>
          </w:tcPr>
          <w:p>
            <w:pPr>
              <w:spacing w:after="0"/>
              <w:rPr>
                <w:sz w:val="17"/>
                <w:szCs w:val="17"/>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EEF2F7"/>
          </w:tcPr>
          <w:p>
            <w:pPr>
              <w:spacing w:after="0"/>
              <w:rPr>
                <w:sz w:val="17"/>
                <w:szCs w:val="17"/>
                <w:color w:val="auto"/>
              </w:rPr>
            </w:pPr>
          </w:p>
        </w:tc>
        <w:tc>
          <w:tcPr>
            <w:tcW w:w="200" w:type="dxa"/>
            <w:vAlign w:val="bottom"/>
            <w:shd w:val="clear" w:color="auto" w:fill="EEF2F7"/>
          </w:tcPr>
          <w:p>
            <w:pPr>
              <w:spacing w:after="0"/>
              <w:rPr>
                <w:sz w:val="17"/>
                <w:szCs w:val="17"/>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EEF2F7"/>
          </w:tcPr>
          <w:p>
            <w:pPr>
              <w:spacing w:after="0"/>
              <w:rPr>
                <w:sz w:val="17"/>
                <w:szCs w:val="17"/>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6,776</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10,297</w:t>
            </w:r>
          </w:p>
        </w:tc>
        <w:tc>
          <w:tcPr>
            <w:tcW w:w="100" w:type="dxa"/>
            <w:vAlign w:val="bottom"/>
          </w:tcPr>
          <w:p>
            <w:pPr>
              <w:spacing w:after="0"/>
              <w:rPr>
                <w:sz w:val="16"/>
                <w:szCs w:val="16"/>
                <w:color w:val="auto"/>
              </w:rPr>
            </w:pPr>
          </w:p>
        </w:tc>
      </w:tr>
      <w:tr>
        <w:trPr>
          <w:trHeight w:val="189"/>
        </w:trPr>
        <w:tc>
          <w:tcPr>
            <w:tcW w:w="7720" w:type="dxa"/>
            <w:vAlign w:val="bottom"/>
            <w:shd w:val="clear" w:color="auto" w:fill="EEF2F7"/>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EEF2F7"/>
          </w:tcPr>
          <w:p>
            <w:pPr>
              <w:spacing w:after="0"/>
              <w:rPr>
                <w:sz w:val="16"/>
                <w:szCs w:val="16"/>
                <w:color w:val="auto"/>
              </w:rPr>
            </w:pPr>
          </w:p>
        </w:tc>
        <w:tc>
          <w:tcPr>
            <w:tcW w:w="1300" w:type="dxa"/>
            <w:vAlign w:val="bottom"/>
            <w:shd w:val="clear" w:color="auto" w:fill="EEF2F7"/>
          </w:tcPr>
          <w:p>
            <w:pPr>
              <w:jc w:val="right"/>
              <w:spacing w:after="0"/>
              <w:rPr>
                <w:sz w:val="20"/>
                <w:szCs w:val="20"/>
                <w:color w:val="auto"/>
              </w:rPr>
            </w:pPr>
            <w:r>
              <w:rPr>
                <w:rFonts w:ascii="Arial" w:cs="Arial" w:eastAsia="Arial" w:hAnsi="Arial"/>
                <w:sz w:val="16"/>
                <w:szCs w:val="16"/>
                <w:color w:val="auto"/>
              </w:rPr>
              <w:t>229,815</w:t>
            </w:r>
          </w:p>
        </w:tc>
        <w:tc>
          <w:tcPr>
            <w:tcW w:w="300" w:type="dxa"/>
            <w:vAlign w:val="bottom"/>
            <w:shd w:val="clear" w:color="auto" w:fill="EEF2F7"/>
          </w:tcPr>
          <w:p>
            <w:pPr>
              <w:spacing w:after="0"/>
              <w:rPr>
                <w:sz w:val="16"/>
                <w:szCs w:val="16"/>
                <w:color w:val="auto"/>
              </w:rPr>
            </w:pPr>
          </w:p>
        </w:tc>
        <w:tc>
          <w:tcPr>
            <w:tcW w:w="200" w:type="dxa"/>
            <w:vAlign w:val="bottom"/>
            <w:shd w:val="clear" w:color="auto" w:fill="EEF2F7"/>
          </w:tcPr>
          <w:p>
            <w:pPr>
              <w:spacing w:after="0"/>
              <w:rPr>
                <w:sz w:val="16"/>
                <w:szCs w:val="16"/>
                <w:color w:val="auto"/>
              </w:rPr>
            </w:pPr>
          </w:p>
        </w:tc>
        <w:tc>
          <w:tcPr>
            <w:tcW w:w="1360" w:type="dxa"/>
            <w:vAlign w:val="bottom"/>
            <w:shd w:val="clear" w:color="auto" w:fill="EEF2F7"/>
          </w:tcPr>
          <w:p>
            <w:pPr>
              <w:jc w:val="right"/>
              <w:spacing w:after="0"/>
              <w:rPr>
                <w:sz w:val="20"/>
                <w:szCs w:val="20"/>
                <w:color w:val="auto"/>
              </w:rPr>
            </w:pPr>
            <w:r>
              <w:rPr>
                <w:rFonts w:ascii="Arial" w:cs="Arial" w:eastAsia="Arial" w:hAnsi="Arial"/>
                <w:sz w:val="16"/>
                <w:szCs w:val="16"/>
                <w:color w:val="auto"/>
              </w:rPr>
              <w:t>362,380</w:t>
            </w:r>
          </w:p>
        </w:tc>
        <w:tc>
          <w:tcPr>
            <w:tcW w:w="100" w:type="dxa"/>
            <w:vAlign w:val="bottom"/>
            <w:shd w:val="clear" w:color="auto" w:fill="EEF2F7"/>
          </w:tcPr>
          <w:p>
            <w:pPr>
              <w:spacing w:after="0"/>
              <w:rPr>
                <w:sz w:val="16"/>
                <w:szCs w:val="16"/>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6"/>
                <w:szCs w:val="16"/>
                <w:color w:val="auto"/>
              </w:rPr>
            </w:pPr>
          </w:p>
        </w:tc>
      </w:tr>
      <w:tr>
        <w:trPr>
          <w:trHeight w:val="183"/>
        </w:trPr>
        <w:tc>
          <w:tcPr>
            <w:tcW w:w="7720" w:type="dxa"/>
            <w:vAlign w:val="bottom"/>
            <w:tcBorders>
              <w:bottom w:val="single" w:sz="8" w:color="EEF2F7"/>
            </w:tcBorders>
            <w:shd w:val="clear" w:color="auto" w:fill="EEF2F7"/>
          </w:tcPr>
          <w:p>
            <w:pPr>
              <w:spacing w:after="0" w:line="183" w:lineRule="exact"/>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EEF2F7"/>
          </w:tcPr>
          <w:p>
            <w:pPr>
              <w:spacing w:after="0"/>
              <w:rPr>
                <w:sz w:val="15"/>
                <w:szCs w:val="15"/>
                <w:color w:val="auto"/>
              </w:rPr>
            </w:pPr>
          </w:p>
        </w:tc>
        <w:tc>
          <w:tcPr>
            <w:tcW w:w="1300" w:type="dxa"/>
            <w:vAlign w:val="bottom"/>
            <w:tcBorders>
              <w:bottom w:val="single" w:sz="8" w:color="auto"/>
            </w:tcBorders>
            <w:shd w:val="clear" w:color="auto" w:fill="EEF2F7"/>
          </w:tcPr>
          <w:p>
            <w:pPr>
              <w:jc w:val="right"/>
              <w:spacing w:after="0" w:line="183" w:lineRule="exact"/>
              <w:rPr>
                <w:sz w:val="20"/>
                <w:szCs w:val="20"/>
                <w:color w:val="auto"/>
              </w:rPr>
            </w:pPr>
            <w:r>
              <w:rPr>
                <w:rFonts w:ascii="Arial" w:cs="Arial" w:eastAsia="Arial" w:hAnsi="Arial"/>
                <w:sz w:val="16"/>
                <w:szCs w:val="16"/>
                <w:color w:val="auto"/>
              </w:rPr>
              <w:t>237,128</w:t>
            </w:r>
          </w:p>
        </w:tc>
        <w:tc>
          <w:tcPr>
            <w:tcW w:w="300" w:type="dxa"/>
            <w:vAlign w:val="bottom"/>
            <w:tcBorders>
              <w:bottom w:val="single" w:sz="8" w:color="EEF2F7"/>
            </w:tcBorders>
            <w:shd w:val="clear" w:color="auto" w:fill="EEF2F7"/>
          </w:tcPr>
          <w:p>
            <w:pPr>
              <w:spacing w:after="0"/>
              <w:rPr>
                <w:sz w:val="15"/>
                <w:szCs w:val="15"/>
                <w:color w:val="auto"/>
              </w:rPr>
            </w:pPr>
          </w:p>
        </w:tc>
        <w:tc>
          <w:tcPr>
            <w:tcW w:w="200" w:type="dxa"/>
            <w:vAlign w:val="bottom"/>
            <w:tcBorders>
              <w:bottom w:val="single" w:sz="8" w:color="auto"/>
            </w:tcBorders>
            <w:shd w:val="clear" w:color="auto" w:fill="EEF2F7"/>
          </w:tcPr>
          <w:p>
            <w:pPr>
              <w:spacing w:after="0"/>
              <w:rPr>
                <w:sz w:val="15"/>
                <w:szCs w:val="15"/>
                <w:color w:val="auto"/>
              </w:rPr>
            </w:pPr>
          </w:p>
        </w:tc>
        <w:tc>
          <w:tcPr>
            <w:tcW w:w="1360" w:type="dxa"/>
            <w:vAlign w:val="bottom"/>
            <w:tcBorders>
              <w:bottom w:val="single" w:sz="8" w:color="auto"/>
            </w:tcBorders>
            <w:shd w:val="clear" w:color="auto" w:fill="EEF2F7"/>
          </w:tcPr>
          <w:p>
            <w:pPr>
              <w:jc w:val="right"/>
              <w:spacing w:after="0" w:line="183" w:lineRule="exact"/>
              <w:rPr>
                <w:sz w:val="20"/>
                <w:szCs w:val="20"/>
                <w:color w:val="auto"/>
              </w:rPr>
            </w:pPr>
            <w:r>
              <w:rPr>
                <w:rFonts w:ascii="Arial" w:cs="Arial" w:eastAsia="Arial" w:hAnsi="Arial"/>
                <w:sz w:val="16"/>
                <w:szCs w:val="16"/>
                <w:color w:val="auto"/>
              </w:rPr>
              <w:t>374,198</w:t>
            </w:r>
          </w:p>
        </w:tc>
        <w:tc>
          <w:tcPr>
            <w:tcW w:w="100" w:type="dxa"/>
            <w:vAlign w:val="bottom"/>
            <w:tcBorders>
              <w:bottom w:val="single" w:sz="8" w:color="EEF2F7"/>
            </w:tcBorders>
            <w:shd w:val="clear" w:color="auto" w:fill="EEF2F7"/>
          </w:tcPr>
          <w:p>
            <w:pPr>
              <w:spacing w:after="0"/>
              <w:rPr>
                <w:sz w:val="15"/>
                <w:szCs w:val="15"/>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519,613</w:t>
            </w:r>
          </w:p>
        </w:tc>
        <w:tc>
          <w:tcPr>
            <w:tcW w:w="5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661,897</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-3205480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-3188335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-2459355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-1971040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00002D"/>
        </w:rPr>
        <w:t>The accompanying notes are an integral part of these Unaudited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29"/>
          <w:szCs w:val="29"/>
          <w:b w:val="1"/>
          <w:bCs w:val="1"/>
          <w:color w:val="00002D"/>
        </w:rPr>
        <w:t>CarGurus, Inc.</w:t>
      </w:r>
    </w:p>
    <w:p>
      <w:pPr>
        <w:spacing w:after="0" w:line="34" w:lineRule="exact"/>
        <w:rPr>
          <w:sz w:val="20"/>
          <w:szCs w:val="20"/>
          <w:color w:val="auto"/>
        </w:rPr>
      </w:pPr>
    </w:p>
    <w:p>
      <w:pPr>
        <w:ind w:left="1780"/>
        <w:spacing w:after="0"/>
        <w:rPr>
          <w:sz w:val="20"/>
          <w:szCs w:val="20"/>
          <w:color w:val="auto"/>
        </w:rPr>
      </w:pPr>
      <w:r>
        <w:rPr>
          <w:rFonts w:ascii="Arial" w:cs="Arial" w:eastAsia="Arial" w:hAnsi="Arial"/>
          <w:sz w:val="29"/>
          <w:szCs w:val="29"/>
          <w:b w:val="1"/>
          <w:bCs w:val="1"/>
          <w:color w:val="00002D"/>
        </w:rPr>
        <w:t>Unaudited Condensed Consolidated Income Statements</w:t>
      </w:r>
    </w:p>
    <w:p>
      <w:pPr>
        <w:spacing w:after="0" w:line="4" w:lineRule="exact"/>
        <w:rPr>
          <w:sz w:val="20"/>
          <w:szCs w:val="20"/>
          <w:color w:val="auto"/>
        </w:rPr>
      </w:pPr>
    </w:p>
    <w:p>
      <w:pPr>
        <w:ind w:left="2320"/>
        <w:spacing w:after="0"/>
        <w:rPr>
          <w:sz w:val="20"/>
          <w:szCs w:val="20"/>
          <w:color w:val="auto"/>
        </w:rPr>
      </w:pPr>
      <w:r>
        <w:rPr>
          <w:rFonts w:ascii="Arial" w:cs="Arial" w:eastAsia="Arial" w:hAnsi="Arial"/>
          <w:sz w:val="29"/>
          <w:szCs w:val="29"/>
          <w:b w:val="1"/>
          <w:bCs w:val="1"/>
          <w:color w:val="00002D"/>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2026</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7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EEF2F7"/>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243,555</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212,235</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(1)(2)</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18,934</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14,343</w:t>
            </w:r>
          </w:p>
        </w:tc>
        <w:tc>
          <w:tcPr>
            <w:tcW w:w="100" w:type="dxa"/>
            <w:vAlign w:val="bottom"/>
          </w:tcPr>
          <w:p>
            <w:pPr>
              <w:spacing w:after="0"/>
              <w:rPr>
                <w:sz w:val="17"/>
                <w:szCs w:val="17"/>
                <w:color w:val="auto"/>
              </w:rPr>
            </w:pPr>
          </w:p>
        </w:tc>
      </w:tr>
      <w:tr>
        <w:trPr>
          <w:trHeight w:val="196"/>
        </w:trPr>
        <w:tc>
          <w:tcPr>
            <w:tcW w:w="77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shd w:val="clear" w:color="auto" w:fill="EEF2F7"/>
          </w:tcPr>
          <w:p>
            <w:pPr>
              <w:spacing w:after="0"/>
              <w:rPr>
                <w:sz w:val="17"/>
                <w:szCs w:val="17"/>
                <w:color w:val="auto"/>
              </w:rPr>
            </w:pPr>
          </w:p>
        </w:tc>
        <w:tc>
          <w:tcPr>
            <w:tcW w:w="122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224,621</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spacing w:after="0"/>
              <w:rPr>
                <w:sz w:val="17"/>
                <w:szCs w:val="17"/>
                <w:color w:val="auto"/>
              </w:rPr>
            </w:pPr>
          </w:p>
        </w:tc>
        <w:tc>
          <w:tcPr>
            <w:tcW w:w="116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197,892</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shd w:val="clear" w:color="auto" w:fill="EEF2F7"/>
          </w:tcPr>
          <w:p>
            <w:pPr>
              <w:spacing w:after="0"/>
              <w:rPr>
                <w:sz w:val="17"/>
                <w:szCs w:val="17"/>
                <w:color w:val="auto"/>
              </w:rPr>
            </w:pPr>
          </w:p>
        </w:tc>
        <w:tc>
          <w:tcPr>
            <w:tcW w:w="12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97,484</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spacing w:after="0"/>
              <w:rPr>
                <w:sz w:val="17"/>
                <w:szCs w:val="17"/>
                <w:color w:val="auto"/>
              </w:rPr>
            </w:pPr>
          </w:p>
        </w:tc>
        <w:tc>
          <w:tcPr>
            <w:tcW w:w="11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83,669</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ind w:left="140"/>
              <w:spacing w:after="0" w:line="202" w:lineRule="exact"/>
              <w:rPr>
                <w:sz w:val="20"/>
                <w:szCs w:val="20"/>
                <w:color w:val="auto"/>
              </w:rPr>
            </w:pPr>
            <w:r>
              <w:rPr>
                <w:rFonts w:ascii="Arial" w:cs="Arial" w:eastAsia="Arial" w:hAnsi="Arial"/>
                <w:sz w:val="18"/>
                <w:szCs w:val="18"/>
                <w:color w:val="auto"/>
              </w:rPr>
              <w:t>Product, technology, and development</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37,671</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35,028</w:t>
            </w: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EEF2F7"/>
          </w:tcPr>
          <w:p>
            <w:pPr>
              <w:spacing w:after="0"/>
              <w:rPr>
                <w:sz w:val="17"/>
                <w:szCs w:val="17"/>
                <w:color w:val="auto"/>
              </w:rPr>
            </w:pPr>
          </w:p>
        </w:tc>
        <w:tc>
          <w:tcPr>
            <w:tcW w:w="12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26,481</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spacing w:after="0"/>
              <w:rPr>
                <w:sz w:val="17"/>
                <w:szCs w:val="17"/>
                <w:color w:val="auto"/>
              </w:rPr>
            </w:pPr>
          </w:p>
        </w:tc>
        <w:tc>
          <w:tcPr>
            <w:tcW w:w="11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24,785</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ind w:left="140"/>
              <w:spacing w:after="0" w:line="202" w:lineRule="exact"/>
              <w:rPr>
                <w:sz w:val="20"/>
                <w:szCs w:val="20"/>
                <w:color w:val="auto"/>
              </w:rPr>
            </w:pPr>
            <w:r>
              <w:rPr>
                <w:rFonts w:ascii="Arial" w:cs="Arial" w:eastAsia="Arial" w:hAnsi="Arial"/>
                <w:sz w:val="18"/>
                <w:szCs w:val="18"/>
                <w:color w:val="auto"/>
              </w:rPr>
              <w:t>Impairments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19,201</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tcBorders>
              <w:bottom w:val="single" w:sz="8" w:color="EEF2F7"/>
            </w:tcBorders>
            <w:shd w:val="clear" w:color="auto" w:fill="EEF2F7"/>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EEF2F7"/>
          </w:tcPr>
          <w:p>
            <w:pPr>
              <w:spacing w:after="0"/>
              <w:rPr>
                <w:sz w:val="17"/>
                <w:szCs w:val="17"/>
                <w:color w:val="auto"/>
              </w:rPr>
            </w:pPr>
          </w:p>
        </w:tc>
        <w:tc>
          <w:tcPr>
            <w:tcW w:w="122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3,705</w:t>
            </w:r>
          </w:p>
        </w:tc>
        <w:tc>
          <w:tcPr>
            <w:tcW w:w="300" w:type="dxa"/>
            <w:vAlign w:val="bottom"/>
            <w:tcBorders>
              <w:bottom w:val="single" w:sz="8" w:color="EEF2F7"/>
            </w:tcBorders>
            <w:shd w:val="clear" w:color="auto" w:fill="EEF2F7"/>
          </w:tcPr>
          <w:p>
            <w:pPr>
              <w:spacing w:after="0"/>
              <w:rPr>
                <w:sz w:val="17"/>
                <w:szCs w:val="17"/>
                <w:color w:val="auto"/>
              </w:rPr>
            </w:pPr>
          </w:p>
        </w:tc>
        <w:tc>
          <w:tcPr>
            <w:tcW w:w="420" w:type="dxa"/>
            <w:vAlign w:val="bottom"/>
            <w:tcBorders>
              <w:bottom w:val="single" w:sz="8" w:color="auto"/>
            </w:tcBorders>
            <w:shd w:val="clear" w:color="auto" w:fill="EEF2F7"/>
          </w:tcPr>
          <w:p>
            <w:pPr>
              <w:spacing w:after="0"/>
              <w:rPr>
                <w:sz w:val="17"/>
                <w:szCs w:val="17"/>
                <w:color w:val="auto"/>
              </w:rPr>
            </w:pPr>
          </w:p>
        </w:tc>
        <w:tc>
          <w:tcPr>
            <w:tcW w:w="116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3,756</w:t>
            </w:r>
          </w:p>
        </w:tc>
        <w:tc>
          <w:tcPr>
            <w:tcW w:w="100" w:type="dxa"/>
            <w:vAlign w:val="bottom"/>
            <w:tcBorders>
              <w:bottom w:val="single" w:sz="8" w:color="EEF2F7"/>
            </w:tcBorders>
            <w:shd w:val="clear" w:color="auto" w:fill="EEF2F7"/>
          </w:tcPr>
          <w:p>
            <w:pPr>
              <w:spacing w:after="0"/>
              <w:rPr>
                <w:sz w:val="17"/>
                <w:szCs w:val="17"/>
                <w:color w:val="auto"/>
              </w:rPr>
            </w:pP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184,542</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147,238</w:t>
            </w:r>
          </w:p>
        </w:tc>
        <w:tc>
          <w:tcPr>
            <w:tcW w:w="100" w:type="dxa"/>
            <w:vAlign w:val="bottom"/>
          </w:tcPr>
          <w:p>
            <w:pPr>
              <w:spacing w:after="0"/>
              <w:rPr>
                <w:sz w:val="17"/>
                <w:szCs w:val="17"/>
                <w:color w:val="auto"/>
              </w:rPr>
            </w:pPr>
          </w:p>
        </w:tc>
      </w:tr>
      <w:tr>
        <w:trPr>
          <w:trHeight w:val="196"/>
        </w:trPr>
        <w:tc>
          <w:tcPr>
            <w:tcW w:w="77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EEF2F7"/>
          </w:tcPr>
          <w:p>
            <w:pPr>
              <w:spacing w:after="0"/>
              <w:rPr>
                <w:sz w:val="17"/>
                <w:szCs w:val="17"/>
                <w:color w:val="auto"/>
              </w:rPr>
            </w:pPr>
          </w:p>
        </w:tc>
        <w:tc>
          <w:tcPr>
            <w:tcW w:w="122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40,079</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spacing w:after="0"/>
              <w:rPr>
                <w:sz w:val="17"/>
                <w:szCs w:val="17"/>
                <w:color w:val="auto"/>
              </w:rPr>
            </w:pPr>
          </w:p>
        </w:tc>
        <w:tc>
          <w:tcPr>
            <w:tcW w:w="116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50,654</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shd w:val="clear" w:color="auto" w:fill="EEF2F7"/>
          </w:tcPr>
          <w:p>
            <w:pPr>
              <w:spacing w:after="0"/>
              <w:rPr>
                <w:sz w:val="17"/>
                <w:szCs w:val="17"/>
                <w:color w:val="auto"/>
              </w:rPr>
            </w:pPr>
          </w:p>
        </w:tc>
        <w:tc>
          <w:tcPr>
            <w:tcW w:w="12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1,671</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spacing w:after="0"/>
              <w:rPr>
                <w:sz w:val="17"/>
                <w:szCs w:val="17"/>
                <w:color w:val="auto"/>
              </w:rPr>
            </w:pPr>
          </w:p>
        </w:tc>
        <w:tc>
          <w:tcPr>
            <w:tcW w:w="11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3,098</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ind w:left="140"/>
              <w:spacing w:after="0" w:line="202" w:lineRule="exact"/>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17"/>
                <w:szCs w:val="17"/>
                <w:color w:val="auto"/>
              </w:rPr>
            </w:pPr>
          </w:p>
        </w:tc>
        <w:tc>
          <w:tcPr>
            <w:tcW w:w="15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(606)</w:t>
            </w:r>
          </w:p>
        </w:tc>
        <w:tc>
          <w:tcPr>
            <w:tcW w:w="4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w:t>
            </w:r>
          </w:p>
        </w:tc>
      </w:tr>
      <w:tr>
        <w:trPr>
          <w:trHeight w:val="196"/>
        </w:trPr>
        <w:tc>
          <w:tcPr>
            <w:tcW w:w="7700" w:type="dxa"/>
            <w:vAlign w:val="bottom"/>
            <w:shd w:val="clear" w:color="auto" w:fill="EEF2F7"/>
          </w:tcPr>
          <w:p>
            <w:pPr>
              <w:ind w:left="220"/>
              <w:spacing w:after="0" w:line="196" w:lineRule="exact"/>
              <w:rPr>
                <w:sz w:val="20"/>
                <w:szCs w:val="20"/>
                <w:color w:val="auto"/>
              </w:rPr>
            </w:pPr>
            <w:r>
              <w:rPr>
                <w:rFonts w:ascii="Arial" w:cs="Arial" w:eastAsia="Arial" w:hAnsi="Arial"/>
                <w:sz w:val="18"/>
                <w:szCs w:val="18"/>
                <w:color w:val="auto"/>
              </w:rPr>
              <w:t>Total other income, net</w:t>
            </w:r>
          </w:p>
        </w:tc>
        <w:tc>
          <w:tcPr>
            <w:tcW w:w="340" w:type="dxa"/>
            <w:vAlign w:val="bottom"/>
            <w:tcBorders>
              <w:top w:val="single" w:sz="8" w:color="auto"/>
            </w:tcBorders>
            <w:shd w:val="clear" w:color="auto" w:fill="EEF2F7"/>
          </w:tcPr>
          <w:p>
            <w:pPr>
              <w:spacing w:after="0"/>
              <w:rPr>
                <w:sz w:val="17"/>
                <w:szCs w:val="17"/>
                <w:color w:val="auto"/>
              </w:rPr>
            </w:pPr>
          </w:p>
        </w:tc>
        <w:tc>
          <w:tcPr>
            <w:tcW w:w="1220" w:type="dxa"/>
            <w:vAlign w:val="bottom"/>
            <w:tcBorders>
              <w:top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1,065</w:t>
            </w:r>
          </w:p>
        </w:tc>
        <w:tc>
          <w:tcPr>
            <w:tcW w:w="300" w:type="dxa"/>
            <w:vAlign w:val="bottom"/>
            <w:shd w:val="clear" w:color="auto" w:fill="EEF2F7"/>
          </w:tcPr>
          <w:p>
            <w:pPr>
              <w:spacing w:after="0"/>
              <w:rPr>
                <w:sz w:val="17"/>
                <w:szCs w:val="17"/>
                <w:color w:val="auto"/>
              </w:rPr>
            </w:pPr>
          </w:p>
        </w:tc>
        <w:tc>
          <w:tcPr>
            <w:tcW w:w="420" w:type="dxa"/>
            <w:vAlign w:val="bottom"/>
            <w:tcBorders>
              <w:top w:val="single" w:sz="8" w:color="auto"/>
            </w:tcBorders>
            <w:shd w:val="clear" w:color="auto" w:fill="EEF2F7"/>
          </w:tcPr>
          <w:p>
            <w:pPr>
              <w:spacing w:after="0"/>
              <w:rPr>
                <w:sz w:val="17"/>
                <w:szCs w:val="17"/>
                <w:color w:val="auto"/>
              </w:rPr>
            </w:pPr>
          </w:p>
        </w:tc>
        <w:tc>
          <w:tcPr>
            <w:tcW w:w="1160" w:type="dxa"/>
            <w:vAlign w:val="bottom"/>
            <w:tcBorders>
              <w:top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2,796</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41,144</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53,450</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EEF2F7"/>
            </w:tcBorders>
            <w:shd w:val="clear" w:color="auto" w:fill="EEF2F7"/>
          </w:tcPr>
          <w:p>
            <w:pPr>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EEF2F7"/>
          </w:tcPr>
          <w:p>
            <w:pPr>
              <w:spacing w:after="0"/>
              <w:rPr>
                <w:sz w:val="17"/>
                <w:szCs w:val="17"/>
                <w:color w:val="auto"/>
              </w:rPr>
            </w:pPr>
          </w:p>
        </w:tc>
        <w:tc>
          <w:tcPr>
            <w:tcW w:w="122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8,916</w:t>
            </w:r>
          </w:p>
        </w:tc>
        <w:tc>
          <w:tcPr>
            <w:tcW w:w="300" w:type="dxa"/>
            <w:vAlign w:val="bottom"/>
            <w:tcBorders>
              <w:bottom w:val="single" w:sz="8" w:color="EEF2F7"/>
            </w:tcBorders>
            <w:shd w:val="clear" w:color="auto" w:fill="EEF2F7"/>
          </w:tcPr>
          <w:p>
            <w:pPr>
              <w:spacing w:after="0"/>
              <w:rPr>
                <w:sz w:val="17"/>
                <w:szCs w:val="17"/>
                <w:color w:val="auto"/>
              </w:rPr>
            </w:pPr>
          </w:p>
        </w:tc>
        <w:tc>
          <w:tcPr>
            <w:tcW w:w="420" w:type="dxa"/>
            <w:vAlign w:val="bottom"/>
            <w:tcBorders>
              <w:bottom w:val="single" w:sz="8" w:color="auto"/>
            </w:tcBorders>
            <w:shd w:val="clear" w:color="auto" w:fill="EEF2F7"/>
          </w:tcPr>
          <w:p>
            <w:pPr>
              <w:spacing w:after="0"/>
              <w:rPr>
                <w:sz w:val="17"/>
                <w:szCs w:val="17"/>
                <w:color w:val="auto"/>
              </w:rPr>
            </w:pPr>
          </w:p>
        </w:tc>
        <w:tc>
          <w:tcPr>
            <w:tcW w:w="116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11,376</w:t>
            </w:r>
          </w:p>
        </w:tc>
        <w:tc>
          <w:tcPr>
            <w:tcW w:w="100" w:type="dxa"/>
            <w:vAlign w:val="bottom"/>
            <w:tcBorders>
              <w:bottom w:val="single" w:sz="8" w:color="EEF2F7"/>
            </w:tcBorders>
            <w:shd w:val="clear" w:color="auto" w:fill="EEF2F7"/>
          </w:tcPr>
          <w:p>
            <w:pPr>
              <w:spacing w:after="0"/>
              <w:rPr>
                <w:sz w:val="17"/>
                <w:szCs w:val="17"/>
                <w:color w:val="auto"/>
              </w:rPr>
            </w:pPr>
          </w:p>
        </w:tc>
      </w:tr>
      <w:tr>
        <w:trPr>
          <w:trHeight w:val="196"/>
        </w:trPr>
        <w:tc>
          <w:tcPr>
            <w:tcW w:w="7700" w:type="dxa"/>
            <w:vAlign w:val="bottom"/>
          </w:tcPr>
          <w:p>
            <w:pPr>
              <w:spacing w:after="0" w:line="196" w:lineRule="exact"/>
              <w:rPr>
                <w:sz w:val="20"/>
                <w:szCs w:val="20"/>
                <w:color w:val="auto"/>
              </w:rPr>
            </w:pPr>
            <w:r>
              <w:rPr>
                <w:rFonts w:ascii="Arial" w:cs="Arial" w:eastAsia="Arial" w:hAnsi="Arial"/>
                <w:sz w:val="18"/>
                <w:szCs w:val="18"/>
                <w:color w:val="auto"/>
              </w:rPr>
              <w:t>Net income from continuing operations</w:t>
            </w:r>
          </w:p>
        </w:tc>
        <w:tc>
          <w:tcPr>
            <w:tcW w:w="3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32,228</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42,074</w:t>
            </w: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Net loss from discontinued operations, net of tax benefits</w:t>
            </w:r>
          </w:p>
        </w:tc>
        <w:tc>
          <w:tcPr>
            <w:tcW w:w="340" w:type="dxa"/>
            <w:vAlign w:val="bottom"/>
            <w:shd w:val="clear" w:color="auto" w:fill="EEF2F7"/>
          </w:tcPr>
          <w:p>
            <w:pPr>
              <w:spacing w:after="0"/>
              <w:rPr>
                <w:sz w:val="17"/>
                <w:szCs w:val="17"/>
                <w:color w:val="auto"/>
              </w:rPr>
            </w:pPr>
          </w:p>
        </w:tc>
        <w:tc>
          <w:tcPr>
            <w:tcW w:w="1520" w:type="dxa"/>
            <w:vAlign w:val="bottom"/>
            <w:gridSpan w:val="2"/>
            <w:shd w:val="clear" w:color="auto" w:fill="EEF2F7"/>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EF2F7"/>
          </w:tcPr>
          <w:p>
            <w:pPr>
              <w:spacing w:after="0"/>
              <w:rPr>
                <w:sz w:val="17"/>
                <w:szCs w:val="17"/>
                <w:color w:val="auto"/>
              </w:rPr>
            </w:pPr>
          </w:p>
        </w:tc>
        <w:tc>
          <w:tcPr>
            <w:tcW w:w="126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(3,029)</w:t>
            </w:r>
          </w:p>
        </w:tc>
      </w:tr>
      <w:tr>
        <w:trPr>
          <w:trHeight w:val="196"/>
        </w:trPr>
        <w:tc>
          <w:tcPr>
            <w:tcW w:w="7700" w:type="dxa"/>
            <w:vAlign w:val="bottom"/>
            <w:tcBorders>
              <w:top w:val="single" w:sz="8" w:color="EEF2F7"/>
            </w:tcBorders>
          </w:tcPr>
          <w:p>
            <w:pPr>
              <w:spacing w:after="0" w:line="196" w:lineRule="exact"/>
              <w:rPr>
                <w:sz w:val="20"/>
                <w:szCs w:val="20"/>
                <w:color w:val="auto"/>
              </w:rPr>
            </w:pPr>
            <w:r>
              <w:rPr>
                <w:rFonts w:ascii="Arial" w:cs="Arial" w:eastAsia="Arial" w:hAnsi="Arial"/>
                <w:sz w:val="18"/>
                <w:szCs w:val="18"/>
                <w:color w:val="auto"/>
              </w:rPr>
              <w:t>Consolidated net income</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32,228</w:t>
            </w:r>
          </w:p>
        </w:tc>
        <w:tc>
          <w:tcPr>
            <w:tcW w:w="300" w:type="dxa"/>
            <w:vAlign w:val="bottom"/>
            <w:tcBorders>
              <w:top w:val="single" w:sz="8" w:color="EEF2F7"/>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39,045</w:t>
            </w:r>
          </w:p>
        </w:tc>
        <w:tc>
          <w:tcPr>
            <w:tcW w:w="100" w:type="dxa"/>
            <w:vAlign w:val="bottom"/>
            <w:tcBorders>
              <w:top w:val="single" w:sz="8" w:color="EEF2F7"/>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00" w:type="dxa"/>
            <w:vAlign w:val="bottom"/>
            <w:shd w:val="clear" w:color="auto" w:fill="EEF2F7"/>
          </w:tcPr>
          <w:p>
            <w:pPr>
              <w:spacing w:after="0" w:line="183" w:lineRule="exact"/>
              <w:rPr>
                <w:sz w:val="20"/>
                <w:szCs w:val="20"/>
                <w:color w:val="auto"/>
              </w:rPr>
            </w:pPr>
            <w:r>
              <w:rPr>
                <w:rFonts w:ascii="Arial" w:cs="Arial" w:eastAsia="Arial" w:hAnsi="Arial"/>
                <w:sz w:val="18"/>
                <w:szCs w:val="18"/>
                <w:color w:val="auto"/>
              </w:rPr>
              <w:t>Net income per share attributable to common stockholders (Note 11)</w:t>
            </w:r>
          </w:p>
        </w:tc>
        <w:tc>
          <w:tcPr>
            <w:tcW w:w="340" w:type="dxa"/>
            <w:vAlign w:val="bottom"/>
            <w:shd w:val="clear" w:color="auto" w:fill="EEF2F7"/>
          </w:tcPr>
          <w:p>
            <w:pPr>
              <w:spacing w:after="0"/>
              <w:rPr>
                <w:sz w:val="15"/>
                <w:szCs w:val="15"/>
                <w:color w:val="auto"/>
              </w:rPr>
            </w:pPr>
          </w:p>
        </w:tc>
        <w:tc>
          <w:tcPr>
            <w:tcW w:w="1220" w:type="dxa"/>
            <w:vAlign w:val="bottom"/>
            <w:shd w:val="clear" w:color="auto" w:fill="EEF2F7"/>
          </w:tcPr>
          <w:p>
            <w:pPr>
              <w:spacing w:after="0"/>
              <w:rPr>
                <w:sz w:val="15"/>
                <w:szCs w:val="15"/>
                <w:color w:val="auto"/>
              </w:rPr>
            </w:pPr>
          </w:p>
        </w:tc>
        <w:tc>
          <w:tcPr>
            <w:tcW w:w="300" w:type="dxa"/>
            <w:vAlign w:val="bottom"/>
            <w:shd w:val="clear" w:color="auto" w:fill="EEF2F7"/>
          </w:tcPr>
          <w:p>
            <w:pPr>
              <w:spacing w:after="0"/>
              <w:rPr>
                <w:sz w:val="15"/>
                <w:szCs w:val="15"/>
                <w:color w:val="auto"/>
              </w:rPr>
            </w:pPr>
          </w:p>
        </w:tc>
        <w:tc>
          <w:tcPr>
            <w:tcW w:w="420" w:type="dxa"/>
            <w:vAlign w:val="bottom"/>
            <w:shd w:val="clear" w:color="auto" w:fill="EEF2F7"/>
          </w:tcPr>
          <w:p>
            <w:pPr>
              <w:spacing w:after="0"/>
              <w:rPr>
                <w:sz w:val="15"/>
                <w:szCs w:val="15"/>
                <w:color w:val="auto"/>
              </w:rPr>
            </w:pPr>
          </w:p>
        </w:tc>
        <w:tc>
          <w:tcPr>
            <w:tcW w:w="1160" w:type="dxa"/>
            <w:vAlign w:val="bottom"/>
            <w:shd w:val="clear" w:color="auto" w:fill="EEF2F7"/>
          </w:tcPr>
          <w:p>
            <w:pPr>
              <w:spacing w:after="0"/>
              <w:rPr>
                <w:sz w:val="15"/>
                <w:szCs w:val="15"/>
                <w:color w:val="auto"/>
              </w:rPr>
            </w:pPr>
          </w:p>
        </w:tc>
        <w:tc>
          <w:tcPr>
            <w:tcW w:w="100" w:type="dxa"/>
            <w:vAlign w:val="bottom"/>
            <w:shd w:val="clear" w:color="auto" w:fill="EEF2F7"/>
          </w:tcPr>
          <w:p>
            <w:pPr>
              <w:spacing w:after="0"/>
              <w:rPr>
                <w:sz w:val="15"/>
                <w:szCs w:val="15"/>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EEF2F7"/>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0.34</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0.41</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ind w:left="140"/>
              <w:spacing w:after="0" w:line="202" w:lineRule="exact"/>
              <w:rPr>
                <w:sz w:val="20"/>
                <w:szCs w:val="20"/>
                <w:color w:val="auto"/>
              </w:rPr>
            </w:pPr>
            <w:r>
              <w:rPr>
                <w:rFonts w:ascii="Arial" w:cs="Arial" w:eastAsia="Arial" w:hAnsi="Arial"/>
                <w:sz w:val="18"/>
                <w:szCs w:val="18"/>
                <w:color w:val="auto"/>
              </w:rPr>
              <w:t>Consolidated</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0.34</w:t>
            </w:r>
          </w:p>
        </w:tc>
        <w:tc>
          <w:tcPr>
            <w:tcW w:w="300" w:type="dxa"/>
            <w:vAlign w:val="bottom"/>
          </w:tcPr>
          <w:p>
            <w:pPr>
              <w:spacing w:after="0"/>
              <w:rPr>
                <w:sz w:val="17"/>
                <w:szCs w:val="17"/>
                <w:color w:val="auto"/>
              </w:rPr>
            </w:pP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EEF2F7"/>
          </w:tcPr>
          <w:p>
            <w:pPr>
              <w:spacing w:after="0"/>
              <w:rPr>
                <w:sz w:val="17"/>
                <w:szCs w:val="17"/>
                <w:color w:val="auto"/>
              </w:rPr>
            </w:pPr>
          </w:p>
        </w:tc>
        <w:tc>
          <w:tcPr>
            <w:tcW w:w="122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spacing w:after="0"/>
              <w:rPr>
                <w:sz w:val="17"/>
                <w:szCs w:val="17"/>
                <w:color w:val="auto"/>
              </w:rPr>
            </w:pPr>
          </w:p>
        </w:tc>
        <w:tc>
          <w:tcPr>
            <w:tcW w:w="116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ind w:left="140"/>
              <w:spacing w:after="0" w:line="202" w:lineRule="exact"/>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0.34</w:t>
            </w:r>
          </w:p>
        </w:tc>
        <w:tc>
          <w:tcPr>
            <w:tcW w:w="300" w:type="dxa"/>
            <w:vAlign w:val="bottom"/>
          </w:tcPr>
          <w:p>
            <w:pPr>
              <w:spacing w:after="0"/>
              <w:rPr>
                <w:sz w:val="17"/>
                <w:szCs w:val="17"/>
                <w:color w:val="auto"/>
              </w:rPr>
            </w:pP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Consolidated</w:t>
            </w:r>
          </w:p>
        </w:tc>
        <w:tc>
          <w:tcPr>
            <w:tcW w:w="340" w:type="dxa"/>
            <w:vAlign w:val="bottom"/>
            <w:shd w:val="clear" w:color="auto" w:fill="EEF2F7"/>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0.34</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0.37</w:t>
            </w:r>
          </w:p>
        </w:tc>
        <w:tc>
          <w:tcPr>
            <w:tcW w:w="100" w:type="dxa"/>
            <w:vAlign w:val="bottom"/>
            <w:shd w:val="clear" w:color="auto" w:fill="EEF2F7"/>
          </w:tcPr>
          <w:p>
            <w:pPr>
              <w:spacing w:after="0"/>
              <w:rPr>
                <w:sz w:val="17"/>
                <w:szCs w:val="17"/>
                <w:color w:val="auto"/>
              </w:rPr>
            </w:pPr>
          </w:p>
        </w:tc>
      </w:tr>
      <w:tr>
        <w:trPr>
          <w:trHeight w:val="184"/>
        </w:trPr>
        <w:tc>
          <w:tcPr>
            <w:tcW w:w="7700" w:type="dxa"/>
            <w:vAlign w:val="bottom"/>
          </w:tcPr>
          <w:p>
            <w:pPr>
              <w:spacing w:after="0" w:line="183" w:lineRule="exact"/>
              <w:rPr>
                <w:sz w:val="20"/>
                <w:szCs w:val="20"/>
                <w:color w:val="auto"/>
              </w:rPr>
            </w:pPr>
            <w:r>
              <w:rPr>
                <w:rFonts w:ascii="Arial" w:cs="Arial" w:eastAsia="Arial" w:hAnsi="Arial"/>
                <w:sz w:val="18"/>
                <w:szCs w:val="18"/>
                <w:color w:val="auto"/>
              </w:rPr>
              <w:t>Weighted-average number of shares of common stock used in</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700" w:type="dxa"/>
            <w:vAlign w:val="bottom"/>
          </w:tcPr>
          <w:p>
            <w:pPr>
              <w:ind w:left="160"/>
              <w:spacing w:after="0"/>
              <w:rPr>
                <w:sz w:val="20"/>
                <w:szCs w:val="20"/>
                <w:color w:val="auto"/>
              </w:rPr>
            </w:pPr>
            <w:r>
              <w:rPr>
                <w:rFonts w:ascii="Arial" w:cs="Arial" w:eastAsia="Arial" w:hAnsi="Arial"/>
                <w:sz w:val="18"/>
                <w:szCs w:val="18"/>
                <w:color w:val="auto"/>
              </w:rPr>
              <w:t>computing net income per share attributable to common stockholders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7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Basic</w:t>
            </w:r>
          </w:p>
        </w:tc>
        <w:tc>
          <w:tcPr>
            <w:tcW w:w="340" w:type="dxa"/>
            <w:vAlign w:val="bottom"/>
            <w:shd w:val="clear" w:color="auto" w:fill="EEF2F7"/>
          </w:tcPr>
          <w:p>
            <w:pPr>
              <w:spacing w:after="0"/>
              <w:rPr>
                <w:sz w:val="17"/>
                <w:szCs w:val="17"/>
                <w:color w:val="auto"/>
              </w:rPr>
            </w:pPr>
          </w:p>
        </w:tc>
        <w:tc>
          <w:tcPr>
            <w:tcW w:w="12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94,055,057</w:t>
            </w:r>
          </w:p>
        </w:tc>
        <w:tc>
          <w:tcPr>
            <w:tcW w:w="300" w:type="dxa"/>
            <w:vAlign w:val="bottom"/>
            <w:shd w:val="clear" w:color="auto" w:fill="EEF2F7"/>
          </w:tcPr>
          <w:p>
            <w:pPr>
              <w:spacing w:after="0"/>
              <w:rPr>
                <w:sz w:val="17"/>
                <w:szCs w:val="17"/>
                <w:color w:val="auto"/>
              </w:rPr>
            </w:pPr>
          </w:p>
        </w:tc>
        <w:tc>
          <w:tcPr>
            <w:tcW w:w="420" w:type="dxa"/>
            <w:vAlign w:val="bottom"/>
            <w:shd w:val="clear" w:color="auto" w:fill="EEF2F7"/>
          </w:tcPr>
          <w:p>
            <w:pPr>
              <w:spacing w:after="0"/>
              <w:rPr>
                <w:sz w:val="17"/>
                <w:szCs w:val="17"/>
                <w:color w:val="auto"/>
              </w:rPr>
            </w:pPr>
          </w:p>
        </w:tc>
        <w:tc>
          <w:tcPr>
            <w:tcW w:w="11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103,094,690</w:t>
            </w:r>
          </w:p>
        </w:tc>
        <w:tc>
          <w:tcPr>
            <w:tcW w:w="100" w:type="dxa"/>
            <w:vAlign w:val="bottom"/>
            <w:shd w:val="clear" w:color="auto" w:fill="EEF2F7"/>
          </w:tcPr>
          <w:p>
            <w:pPr>
              <w:spacing w:after="0"/>
              <w:rPr>
                <w:sz w:val="17"/>
                <w:szCs w:val="17"/>
                <w:color w:val="auto"/>
              </w:rPr>
            </w:pPr>
          </w:p>
        </w:tc>
      </w:tr>
      <w:tr>
        <w:trPr>
          <w:trHeight w:val="239"/>
        </w:trPr>
        <w:tc>
          <w:tcPr>
            <w:tcW w:w="770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95,096,141</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105,068,046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-2919730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-2919730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-1865630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-1865630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-1599565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-1599565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hanging="512"/>
        <w:spacing w:after="0"/>
        <w:tabs>
          <w:tab w:leader="none" w:pos="520" w:val="left"/>
        </w:tabs>
        <w:numPr>
          <w:ilvl w:val="0"/>
          <w:numId w:val="6"/>
        </w:numPr>
        <w:rPr>
          <w:rFonts w:ascii="Times New Roman" w:cs="Times New Roman" w:eastAsia="Times New Roman" w:hAnsi="Times New Roman"/>
          <w:sz w:val="13"/>
          <w:szCs w:val="13"/>
          <w:color w:val="00002D"/>
        </w:rPr>
      </w:pPr>
      <w:r>
        <w:rPr>
          <w:rFonts w:ascii="Arial" w:cs="Arial" w:eastAsia="Arial" w:hAnsi="Arial"/>
          <w:sz w:val="13"/>
          <w:szCs w:val="13"/>
          <w:color w:val="00002D"/>
        </w:rPr>
        <w:t>For the three months ended March 31, 2026 and 2025, cost of revenue includes depreciation and amortization expense of $3.5 million, and $1.9 million, respectively.</w:t>
      </w:r>
    </w:p>
    <w:p>
      <w:pPr>
        <w:spacing w:after="0" w:line="65" w:lineRule="exact"/>
        <w:rPr>
          <w:rFonts w:ascii="Times New Roman" w:cs="Times New Roman" w:eastAsia="Times New Roman" w:hAnsi="Times New Roman"/>
          <w:sz w:val="13"/>
          <w:szCs w:val="13"/>
          <w:color w:val="00002D"/>
        </w:rPr>
      </w:pPr>
    </w:p>
    <w:p>
      <w:pPr>
        <w:ind w:left="520" w:right="20" w:hanging="512"/>
        <w:spacing w:after="0" w:line="242" w:lineRule="auto"/>
        <w:tabs>
          <w:tab w:leader="none" w:pos="520" w:val="left"/>
        </w:tabs>
        <w:numPr>
          <w:ilvl w:val="0"/>
          <w:numId w:val="6"/>
        </w:numPr>
        <w:rPr>
          <w:rFonts w:ascii="Times New Roman" w:cs="Times New Roman" w:eastAsia="Times New Roman" w:hAnsi="Times New Roman"/>
          <w:sz w:val="13"/>
          <w:szCs w:val="13"/>
          <w:color w:val="00002D"/>
        </w:rPr>
      </w:pPr>
      <w:r>
        <w:rPr>
          <w:rFonts w:ascii="Arial" w:cs="Arial" w:eastAsia="Arial" w:hAnsi="Arial"/>
          <w:sz w:val="13"/>
          <w:szCs w:val="13"/>
          <w:color w:val="00002D"/>
        </w:rPr>
        <w:t>For the three months ended March 31, 2026, cost of revenue includes impairment of $0.5 million. For the three months ended March 31, 2025, there was no impairment recorded in cost of revenue.</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00002D"/>
        </w:rPr>
        <w:t>The accompanying notes are an integral part of these Unaudited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CarGurus,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Unaudited 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77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Consolidated net income</w:t>
            </w:r>
          </w:p>
        </w:tc>
        <w:tc>
          <w:tcPr>
            <w:tcW w:w="960" w:type="dxa"/>
            <w:vAlign w:val="bottom"/>
            <w:shd w:val="clear" w:color="auto" w:fill="EEF2F7"/>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32,228</w:t>
            </w:r>
          </w:p>
        </w:tc>
        <w:tc>
          <w:tcPr>
            <w:tcW w:w="300" w:type="dxa"/>
            <w:vAlign w:val="bottom"/>
            <w:shd w:val="clear" w:color="auto" w:fill="EEF2F7"/>
          </w:tcPr>
          <w:p>
            <w:pPr>
              <w:spacing w:after="0"/>
              <w:rPr>
                <w:sz w:val="17"/>
                <w:szCs w:val="17"/>
                <w:color w:val="auto"/>
              </w:rPr>
            </w:pPr>
          </w:p>
        </w:tc>
        <w:tc>
          <w:tcPr>
            <w:tcW w:w="580" w:type="dxa"/>
            <w:vAlign w:val="bottom"/>
            <w:shd w:val="clear" w:color="auto" w:fill="EEF2F7"/>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39,045</w:t>
            </w:r>
          </w:p>
        </w:tc>
        <w:tc>
          <w:tcPr>
            <w:tcW w:w="100" w:type="dxa"/>
            <w:vAlign w:val="bottom"/>
            <w:shd w:val="clear" w:color="auto" w:fill="EEF2F7"/>
          </w:tcPr>
          <w:p>
            <w:pPr>
              <w:spacing w:after="0"/>
              <w:rPr>
                <w:sz w:val="17"/>
                <w:szCs w:val="17"/>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Foreign currency translation adjustment</w:t>
            </w:r>
          </w:p>
        </w:tc>
        <w:tc>
          <w:tcPr>
            <w:tcW w:w="960" w:type="dxa"/>
            <w:vAlign w:val="bottom"/>
            <w:shd w:val="clear" w:color="auto" w:fill="EEF2F7"/>
          </w:tcPr>
          <w:p>
            <w:pPr>
              <w:spacing w:after="0"/>
              <w:rPr>
                <w:sz w:val="17"/>
                <w:szCs w:val="17"/>
                <w:color w:val="auto"/>
              </w:rPr>
            </w:pPr>
          </w:p>
        </w:tc>
        <w:tc>
          <w:tcPr>
            <w:tcW w:w="900" w:type="dxa"/>
            <w:vAlign w:val="bottom"/>
            <w:gridSpan w:val="2"/>
            <w:shd w:val="clear" w:color="auto" w:fill="EEF2F7"/>
          </w:tcPr>
          <w:p>
            <w:pPr>
              <w:jc w:val="right"/>
              <w:ind w:right="240"/>
              <w:spacing w:after="0" w:line="202" w:lineRule="exact"/>
              <w:rPr>
                <w:sz w:val="20"/>
                <w:szCs w:val="20"/>
                <w:color w:val="auto"/>
              </w:rPr>
            </w:pPr>
            <w:r>
              <w:rPr>
                <w:rFonts w:ascii="Arial" w:cs="Arial" w:eastAsia="Arial" w:hAnsi="Arial"/>
                <w:sz w:val="18"/>
                <w:szCs w:val="18"/>
                <w:color w:val="auto"/>
              </w:rPr>
              <w:t>(979)</w:t>
            </w:r>
          </w:p>
        </w:tc>
        <w:tc>
          <w:tcPr>
            <w:tcW w:w="580" w:type="dxa"/>
            <w:vAlign w:val="bottom"/>
            <w:shd w:val="clear" w:color="auto" w:fill="EEF2F7"/>
          </w:tcPr>
          <w:p>
            <w:pPr>
              <w:spacing w:after="0"/>
              <w:rPr>
                <w:sz w:val="17"/>
                <w:szCs w:val="17"/>
                <w:color w:val="auto"/>
              </w:rPr>
            </w:pPr>
          </w:p>
        </w:tc>
        <w:tc>
          <w:tcPr>
            <w:tcW w:w="10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1,238</w:t>
            </w:r>
          </w:p>
        </w:tc>
        <w:tc>
          <w:tcPr>
            <w:tcW w:w="100" w:type="dxa"/>
            <w:vAlign w:val="bottom"/>
            <w:shd w:val="clear" w:color="auto" w:fill="EEF2F7"/>
          </w:tcPr>
          <w:p>
            <w:pPr>
              <w:spacing w:after="0"/>
              <w:rPr>
                <w:sz w:val="17"/>
                <w:szCs w:val="17"/>
                <w:color w:val="auto"/>
              </w:rPr>
            </w:pPr>
          </w:p>
        </w:tc>
      </w:tr>
      <w:tr>
        <w:trPr>
          <w:trHeight w:val="196"/>
        </w:trPr>
        <w:tc>
          <w:tcPr>
            <w:tcW w:w="7700" w:type="dxa"/>
            <w:vAlign w:val="bottom"/>
            <w:tcBorders>
              <w:top w:val="single" w:sz="8" w:color="EEF2F7"/>
            </w:tcBorders>
          </w:tcPr>
          <w:p>
            <w:pPr>
              <w:spacing w:after="0" w:line="196" w:lineRule="exact"/>
              <w:rPr>
                <w:sz w:val="20"/>
                <w:szCs w:val="20"/>
                <w:color w:val="auto"/>
              </w:rPr>
            </w:pPr>
            <w:r>
              <w:rPr>
                <w:rFonts w:ascii="Arial" w:cs="Arial" w:eastAsia="Arial" w:hAnsi="Arial"/>
                <w:sz w:val="18"/>
                <w:szCs w:val="18"/>
                <w:color w:val="auto"/>
              </w:rPr>
              <w:t>Consolidated comprehensive income</w:t>
            </w:r>
          </w:p>
        </w:tc>
        <w:tc>
          <w:tcPr>
            <w:tcW w:w="960" w:type="dxa"/>
            <w:vAlign w:val="bottom"/>
            <w:tcBorders>
              <w:top w:val="single" w:sz="8" w:color="auto"/>
              <w:bottom w:val="single" w:sz="8" w:color="auto"/>
            </w:tcBorders>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31,249</w:t>
            </w:r>
          </w:p>
        </w:tc>
        <w:tc>
          <w:tcPr>
            <w:tcW w:w="300" w:type="dxa"/>
            <w:vAlign w:val="bottom"/>
            <w:tcBorders>
              <w:top w:val="single" w:sz="8" w:color="EEF2F7"/>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40,283</w:t>
            </w:r>
          </w:p>
        </w:tc>
        <w:tc>
          <w:tcPr>
            <w:tcW w:w="100" w:type="dxa"/>
            <w:vAlign w:val="bottom"/>
            <w:tcBorders>
              <w:top w:val="single" w:sz="8" w:color="EEF2F7"/>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00002D"/>
        </w:rPr>
        <w:t>The accompanying notes are an integral part of these Unaudited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CarGurus, Inc.</w:t>
      </w: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00002D"/>
        </w:rPr>
        <w:t>Unaudited Condensed 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100" w:type="dxa"/>
            <w:vAlign w:val="bottom"/>
            <w:gridSpan w:val="3"/>
            <w:vMerge w:val="restart"/>
          </w:tcPr>
          <w:p>
            <w:pPr>
              <w:jc w:val="center"/>
              <w:ind w:left="510"/>
              <w:spacing w:after="0"/>
              <w:rPr>
                <w:sz w:val="20"/>
                <w:szCs w:val="20"/>
                <w:color w:val="auto"/>
              </w:rPr>
            </w:pPr>
            <w:r>
              <w:rPr>
                <w:rFonts w:ascii="Arial" w:cs="Arial" w:eastAsia="Arial" w:hAnsi="Arial"/>
                <w:sz w:val="13"/>
                <w:szCs w:val="13"/>
                <w:b w:val="1"/>
                <w:bCs w:val="1"/>
                <w:color w:val="auto"/>
              </w:rPr>
              <w:t>Class A</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Class B</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0"/>
                <w:szCs w:val="10"/>
                <w:color w:val="auto"/>
              </w:rPr>
            </w:pPr>
          </w:p>
        </w:tc>
        <w:tc>
          <w:tcPr>
            <w:tcW w:w="840" w:type="dxa"/>
            <w:vAlign w:val="bottom"/>
            <w:gridSpan w:val="3"/>
          </w:tcPr>
          <w:p>
            <w:pPr>
              <w:jc w:val="center"/>
              <w:ind w:right="140"/>
              <w:spacing w:after="0" w:line="126" w:lineRule="exact"/>
              <w:rPr>
                <w:sz w:val="20"/>
                <w:szCs w:val="20"/>
                <w:color w:val="auto"/>
              </w:rPr>
            </w:pPr>
            <w:r>
              <w:rPr>
                <w:rFonts w:ascii="Arial" w:cs="Arial" w:eastAsia="Arial" w:hAnsi="Arial"/>
                <w:sz w:val="13"/>
                <w:szCs w:val="13"/>
                <w:b w:val="1"/>
                <w:bCs w:val="1"/>
                <w:color w:val="auto"/>
                <w:w w:val="96"/>
              </w:rPr>
              <w:t>Comprehe</w:t>
            </w:r>
          </w:p>
        </w:tc>
        <w:tc>
          <w:tcPr>
            <w:tcW w:w="80" w:type="dxa"/>
            <w:vAlign w:val="bottom"/>
          </w:tcPr>
          <w:p>
            <w:pPr>
              <w:spacing w:after="0"/>
              <w:rPr>
                <w:sz w:val="10"/>
                <w:szCs w:val="10"/>
                <w:color w:val="auto"/>
              </w:rPr>
            </w:pPr>
          </w:p>
        </w:tc>
        <w:tc>
          <w:tcPr>
            <w:tcW w:w="8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Stockholde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6"/>
              </w:rPr>
              <w:t>Common Stock</w:t>
            </w:r>
          </w:p>
        </w:tc>
        <w:tc>
          <w:tcPr>
            <w:tcW w:w="182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rs’</w:t>
            </w:r>
          </w:p>
        </w:tc>
        <w:tc>
          <w:tcPr>
            <w:tcW w:w="0" w:type="dxa"/>
            <w:vAlign w:val="bottom"/>
          </w:tcPr>
          <w:p>
            <w:pPr>
              <w:spacing w:after="0"/>
              <w:rPr>
                <w:sz w:val="1"/>
                <w:szCs w:val="1"/>
                <w:color w:val="auto"/>
              </w:rPr>
            </w:pPr>
          </w:p>
        </w:tc>
      </w:tr>
      <w:tr>
        <w:trPr>
          <w:trHeight w:val="128"/>
        </w:trPr>
        <w:tc>
          <w:tcPr>
            <w:tcW w:w="38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1"/>
                <w:szCs w:val="11"/>
                <w:color w:val="auto"/>
              </w:rPr>
            </w:pPr>
          </w:p>
        </w:tc>
        <w:tc>
          <w:tcPr>
            <w:tcW w:w="840" w:type="dxa"/>
            <w:vAlign w:val="bottom"/>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6"/>
        </w:trPr>
        <w:tc>
          <w:tcPr>
            <w:tcW w:w="3820" w:type="dxa"/>
            <w:vAlign w:val="bottom"/>
            <w:shd w:val="clear" w:color="auto" w:fill="EEF2F7"/>
          </w:tcPr>
          <w:p>
            <w:pPr>
              <w:spacing w:after="0" w:line="147" w:lineRule="exact"/>
              <w:rPr>
                <w:sz w:val="20"/>
                <w:szCs w:val="20"/>
                <w:color w:val="auto"/>
              </w:rPr>
            </w:pPr>
            <w:r>
              <w:rPr>
                <w:rFonts w:ascii="Arial" w:cs="Arial" w:eastAsia="Arial" w:hAnsi="Arial"/>
                <w:sz w:val="14"/>
                <w:szCs w:val="14"/>
                <w:color w:val="auto"/>
              </w:rPr>
              <w:t>Balance as of December 31, 2025</w:t>
            </w:r>
          </w:p>
        </w:tc>
        <w:tc>
          <w:tcPr>
            <w:tcW w:w="780" w:type="dxa"/>
            <w:vAlign w:val="bottom"/>
            <w:tcBorders>
              <w:top w:val="single" w:sz="8" w:color="auto"/>
            </w:tcBorders>
            <w:shd w:val="clear" w:color="auto" w:fill="EEF2F7"/>
          </w:tcPr>
          <w:p>
            <w:pPr>
              <w:jc w:val="right"/>
              <w:spacing w:after="0" w:line="147" w:lineRule="exact"/>
              <w:rPr>
                <w:sz w:val="20"/>
                <w:szCs w:val="20"/>
                <w:color w:val="auto"/>
              </w:rPr>
            </w:pPr>
            <w:r>
              <w:rPr>
                <w:rFonts w:ascii="Arial" w:cs="Arial" w:eastAsia="Arial" w:hAnsi="Arial"/>
                <w:sz w:val="14"/>
                <w:szCs w:val="14"/>
                <w:color w:val="auto"/>
              </w:rPr>
              <w:t>80,667,47</w:t>
            </w:r>
          </w:p>
        </w:tc>
        <w:tc>
          <w:tcPr>
            <w:tcW w:w="240" w:type="dxa"/>
            <w:vAlign w:val="bottom"/>
            <w:shd w:val="clear" w:color="auto" w:fill="EEF2F7"/>
          </w:tcPr>
          <w:p>
            <w:pPr>
              <w:spacing w:after="0"/>
              <w:rPr>
                <w:sz w:val="12"/>
                <w:szCs w:val="12"/>
                <w:color w:val="auto"/>
              </w:rPr>
            </w:pPr>
          </w:p>
        </w:tc>
        <w:tc>
          <w:tcPr>
            <w:tcW w:w="8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240" w:type="dxa"/>
            <w:vAlign w:val="bottom"/>
            <w:shd w:val="clear" w:color="auto" w:fill="EEF2F7"/>
          </w:tcPr>
          <w:p>
            <w:pPr>
              <w:spacing w:after="0"/>
              <w:rPr>
                <w:sz w:val="12"/>
                <w:szCs w:val="12"/>
                <w:color w:val="auto"/>
              </w:rPr>
            </w:pPr>
          </w:p>
        </w:tc>
        <w:tc>
          <w:tcPr>
            <w:tcW w:w="760" w:type="dxa"/>
            <w:vAlign w:val="bottom"/>
            <w:tcBorders>
              <w:top w:val="single" w:sz="8" w:color="auto"/>
            </w:tcBorders>
            <w:shd w:val="clear" w:color="auto" w:fill="EEF2F7"/>
          </w:tcPr>
          <w:p>
            <w:pPr>
              <w:jc w:val="right"/>
              <w:spacing w:after="0" w:line="147" w:lineRule="exact"/>
              <w:rPr>
                <w:sz w:val="20"/>
                <w:szCs w:val="20"/>
                <w:color w:val="auto"/>
              </w:rPr>
            </w:pPr>
            <w:r>
              <w:rPr>
                <w:rFonts w:ascii="Arial" w:cs="Arial" w:eastAsia="Arial" w:hAnsi="Arial"/>
                <w:sz w:val="14"/>
                <w:szCs w:val="14"/>
                <w:color w:val="auto"/>
              </w:rPr>
              <w:t>14,216,2</w:t>
            </w: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80" w:type="dxa"/>
            <w:vAlign w:val="bottom"/>
            <w:tcBorders>
              <w:top w:val="single" w:sz="8" w:color="auto"/>
            </w:tcBorders>
            <w:shd w:val="clear" w:color="auto" w:fill="EEF2F7"/>
          </w:tcPr>
          <w:p>
            <w:pPr>
              <w:spacing w:after="0"/>
              <w:rPr>
                <w:sz w:val="12"/>
                <w:szCs w:val="12"/>
                <w:color w:val="auto"/>
              </w:rPr>
            </w:pPr>
          </w:p>
        </w:tc>
        <w:tc>
          <w:tcPr>
            <w:tcW w:w="62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20" w:type="dxa"/>
            <w:vAlign w:val="bottom"/>
            <w:tcBorders>
              <w:top w:val="single" w:sz="8" w:color="auto"/>
            </w:tcBorders>
            <w:shd w:val="clear" w:color="auto" w:fill="EEF2F7"/>
          </w:tcPr>
          <w:p>
            <w:pPr>
              <w:spacing w:after="0"/>
              <w:rPr>
                <w:sz w:val="12"/>
                <w:szCs w:val="12"/>
                <w:color w:val="auto"/>
              </w:rPr>
            </w:pPr>
          </w:p>
        </w:tc>
        <w:tc>
          <w:tcPr>
            <w:tcW w:w="100" w:type="dxa"/>
            <w:vAlign w:val="bottom"/>
            <w:shd w:val="clear" w:color="auto" w:fill="EEF2F7"/>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EEF2F7"/>
          </w:tcPr>
          <w:p>
            <w:pPr>
              <w:spacing w:after="0"/>
              <w:rPr>
                <w:sz w:val="14"/>
                <w:szCs w:val="14"/>
                <w:color w:val="auto"/>
              </w:rPr>
            </w:pPr>
          </w:p>
        </w:tc>
        <w:tc>
          <w:tcPr>
            <w:tcW w:w="780" w:type="dxa"/>
            <w:vAlign w:val="bottom"/>
            <w:shd w:val="clear" w:color="auto" w:fill="EEF2F7"/>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EEF2F7"/>
          </w:tcPr>
          <w:p>
            <w:pPr>
              <w:spacing w:after="0"/>
              <w:rPr>
                <w:sz w:val="14"/>
                <w:szCs w:val="14"/>
                <w:color w:val="auto"/>
              </w:rPr>
            </w:pPr>
          </w:p>
        </w:tc>
        <w:tc>
          <w:tcPr>
            <w:tcW w:w="80" w:type="dxa"/>
            <w:vAlign w:val="bottom"/>
            <w:shd w:val="clear" w:color="auto" w:fill="EEF2F7"/>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81</w:t>
            </w:r>
          </w:p>
        </w:tc>
        <w:tc>
          <w:tcPr>
            <w:tcW w:w="240" w:type="dxa"/>
            <w:vAlign w:val="bottom"/>
            <w:shd w:val="clear" w:color="auto" w:fill="EEF2F7"/>
          </w:tcPr>
          <w:p>
            <w:pPr>
              <w:spacing w:after="0"/>
              <w:rPr>
                <w:sz w:val="14"/>
                <w:szCs w:val="14"/>
                <w:color w:val="auto"/>
              </w:rPr>
            </w:pPr>
          </w:p>
        </w:tc>
        <w:tc>
          <w:tcPr>
            <w:tcW w:w="760" w:type="dxa"/>
            <w:vAlign w:val="bottom"/>
            <w:shd w:val="clear" w:color="auto" w:fill="EEF2F7"/>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EEF2F7"/>
          </w:tcPr>
          <w:p>
            <w:pPr>
              <w:spacing w:after="0"/>
              <w:rPr>
                <w:sz w:val="14"/>
                <w:szCs w:val="14"/>
                <w:color w:val="auto"/>
              </w:rPr>
            </w:pPr>
          </w:p>
        </w:tc>
        <w:tc>
          <w:tcPr>
            <w:tcW w:w="180" w:type="dxa"/>
            <w:vAlign w:val="bottom"/>
            <w:gridSpan w:val="2"/>
            <w:shd w:val="clear" w:color="auto" w:fill="EEF2F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EEF2F7"/>
          </w:tcPr>
          <w:p>
            <w:pPr>
              <w:spacing w:after="0"/>
              <w:rPr>
                <w:sz w:val="14"/>
                <w:szCs w:val="14"/>
                <w:color w:val="auto"/>
              </w:rPr>
            </w:pPr>
          </w:p>
        </w:tc>
        <w:tc>
          <w:tcPr>
            <w:tcW w:w="180" w:type="dxa"/>
            <w:vAlign w:val="bottom"/>
            <w:gridSpan w:val="2"/>
            <w:shd w:val="clear" w:color="auto" w:fill="EEF2F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10,297</w:t>
            </w:r>
          </w:p>
        </w:tc>
        <w:tc>
          <w:tcPr>
            <w:tcW w:w="140" w:type="dxa"/>
            <w:vAlign w:val="bottom"/>
            <w:shd w:val="clear" w:color="auto" w:fill="EEF2F7"/>
          </w:tcPr>
          <w:p>
            <w:pPr>
              <w:spacing w:after="0"/>
              <w:rPr>
                <w:sz w:val="14"/>
                <w:szCs w:val="14"/>
                <w:color w:val="auto"/>
              </w:rPr>
            </w:pPr>
          </w:p>
        </w:tc>
        <w:tc>
          <w:tcPr>
            <w:tcW w:w="160" w:type="dxa"/>
            <w:vAlign w:val="bottom"/>
            <w:gridSpan w:val="2"/>
            <w:shd w:val="clear" w:color="auto" w:fill="EEF2F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362,380</w:t>
            </w:r>
          </w:p>
        </w:tc>
        <w:tc>
          <w:tcPr>
            <w:tcW w:w="140" w:type="dxa"/>
            <w:vAlign w:val="bottom"/>
            <w:shd w:val="clear" w:color="auto" w:fill="EEF2F7"/>
          </w:tcPr>
          <w:p>
            <w:pPr>
              <w:spacing w:after="0"/>
              <w:rPr>
                <w:sz w:val="14"/>
                <w:szCs w:val="14"/>
                <w:color w:val="auto"/>
              </w:rPr>
            </w:pPr>
          </w:p>
        </w:tc>
        <w:tc>
          <w:tcPr>
            <w:tcW w:w="180" w:type="dxa"/>
            <w:vAlign w:val="bottom"/>
            <w:gridSpan w:val="2"/>
            <w:shd w:val="clear" w:color="auto" w:fill="EEF2F7"/>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1,426</w:t>
            </w:r>
          </w:p>
        </w:tc>
        <w:tc>
          <w:tcPr>
            <w:tcW w:w="140" w:type="dxa"/>
            <w:vAlign w:val="bottom"/>
            <w:shd w:val="clear" w:color="auto" w:fill="EEF2F7"/>
          </w:tcPr>
          <w:p>
            <w:pPr>
              <w:spacing w:after="0"/>
              <w:rPr>
                <w:sz w:val="14"/>
                <w:szCs w:val="14"/>
                <w:color w:val="auto"/>
              </w:rPr>
            </w:pPr>
          </w:p>
        </w:tc>
        <w:tc>
          <w:tcPr>
            <w:tcW w:w="180" w:type="dxa"/>
            <w:vAlign w:val="bottom"/>
            <w:gridSpan w:val="2"/>
            <w:shd w:val="clear" w:color="auto" w:fill="EEF2F7"/>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374,198</w:t>
            </w:r>
          </w:p>
        </w:tc>
        <w:tc>
          <w:tcPr>
            <w:tcW w:w="100" w:type="dxa"/>
            <w:vAlign w:val="bottom"/>
            <w:shd w:val="clear" w:color="auto" w:fill="EEF2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Consolidated net income</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EEF2F7"/>
          </w:tcPr>
          <w:p>
            <w:pPr>
              <w:spacing w:after="0"/>
              <w:rPr>
                <w:sz w:val="20"/>
                <w:szCs w:val="20"/>
                <w:color w:val="auto"/>
              </w:rPr>
            </w:pPr>
            <w:r>
              <w:rPr>
                <w:rFonts w:ascii="Arial" w:cs="Arial" w:eastAsia="Arial" w:hAnsi="Arial"/>
                <w:sz w:val="14"/>
                <w:szCs w:val="14"/>
                <w:color w:val="auto"/>
              </w:rPr>
              <w:t>Stock–based compensation expense</w:t>
            </w:r>
          </w:p>
        </w:tc>
        <w:tc>
          <w:tcPr>
            <w:tcW w:w="102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84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14,806</w:t>
            </w:r>
          </w:p>
        </w:tc>
        <w:tc>
          <w:tcPr>
            <w:tcW w:w="14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76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14,806</w:t>
            </w:r>
          </w:p>
        </w:tc>
        <w:tc>
          <w:tcPr>
            <w:tcW w:w="100" w:type="dxa"/>
            <w:vAlign w:val="bottom"/>
            <w:shd w:val="clear" w:color="auto" w:fill="EEF2F7"/>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8,053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EEF2F7"/>
          </w:tcPr>
          <w:p>
            <w:pPr>
              <w:spacing w:after="0" w:line="153" w:lineRule="exact"/>
              <w:rPr>
                <w:sz w:val="20"/>
                <w:szCs w:val="20"/>
                <w:color w:val="auto"/>
              </w:rPr>
            </w:pPr>
            <w:r>
              <w:rPr>
                <w:rFonts w:ascii="Arial" w:cs="Arial" w:eastAsia="Arial" w:hAnsi="Arial"/>
                <w:sz w:val="14"/>
                <w:szCs w:val="14"/>
                <w:color w:val="auto"/>
              </w:rPr>
              <w:t>Issuance of common stock upon vesting of restricted</w:t>
            </w:r>
          </w:p>
        </w:tc>
        <w:tc>
          <w:tcPr>
            <w:tcW w:w="780" w:type="dxa"/>
            <w:vAlign w:val="bottom"/>
            <w:shd w:val="clear" w:color="auto" w:fill="EEF2F7"/>
          </w:tcPr>
          <w:p>
            <w:pPr>
              <w:spacing w:after="0"/>
              <w:rPr>
                <w:sz w:val="13"/>
                <w:szCs w:val="13"/>
                <w:color w:val="auto"/>
              </w:rPr>
            </w:pPr>
          </w:p>
        </w:tc>
        <w:tc>
          <w:tcPr>
            <w:tcW w:w="2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240" w:type="dxa"/>
            <w:vAlign w:val="bottom"/>
            <w:shd w:val="clear" w:color="auto" w:fill="EEF2F7"/>
          </w:tcPr>
          <w:p>
            <w:pPr>
              <w:spacing w:after="0"/>
              <w:rPr>
                <w:sz w:val="13"/>
                <w:szCs w:val="13"/>
                <w:color w:val="auto"/>
              </w:rPr>
            </w:pPr>
          </w:p>
        </w:tc>
        <w:tc>
          <w:tcPr>
            <w:tcW w:w="76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EEF2F7"/>
          </w:tcPr>
          <w:p>
            <w:pPr>
              <w:spacing w:after="0"/>
              <w:rPr>
                <w:sz w:val="20"/>
                <w:szCs w:val="20"/>
                <w:color w:val="auto"/>
              </w:rPr>
            </w:pPr>
            <w:r>
              <w:rPr>
                <w:rFonts w:ascii="Arial" w:cs="Arial" w:eastAsia="Arial" w:hAnsi="Arial"/>
                <w:sz w:val="14"/>
                <w:szCs w:val="14"/>
                <w:color w:val="auto"/>
              </w:rPr>
              <w:t>stock units</w:t>
            </w:r>
          </w:p>
        </w:tc>
        <w:tc>
          <w:tcPr>
            <w:tcW w:w="780" w:type="dxa"/>
            <w:vAlign w:val="bottom"/>
            <w:shd w:val="clear" w:color="auto" w:fill="EEF2F7"/>
          </w:tcPr>
          <w:p>
            <w:pPr>
              <w:jc w:val="right"/>
              <w:spacing w:after="0"/>
              <w:rPr>
                <w:sz w:val="20"/>
                <w:szCs w:val="20"/>
                <w:color w:val="auto"/>
              </w:rPr>
            </w:pPr>
            <w:r>
              <w:rPr>
                <w:rFonts w:ascii="Arial" w:cs="Arial" w:eastAsia="Arial" w:hAnsi="Arial"/>
                <w:sz w:val="14"/>
                <w:szCs w:val="14"/>
                <w:color w:val="auto"/>
              </w:rPr>
              <w:t>519,758</w:t>
            </w:r>
          </w:p>
        </w:tc>
        <w:tc>
          <w:tcPr>
            <w:tcW w:w="24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84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76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20" w:type="dxa"/>
            <w:vAlign w:val="bottom"/>
            <w:gridSpan w:val="2"/>
            <w:shd w:val="clear" w:color="auto" w:fill="EEF2F7"/>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4"/>
                <w:szCs w:val="14"/>
                <w:color w:val="auto"/>
              </w:rPr>
              <w:t>Withholding taxes on net share settlements of restricted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color w:val="auto"/>
              </w:rPr>
              <w:t>stock units</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(179,965)</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(6,565)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(6,565)</w:t>
            </w:r>
          </w:p>
        </w:tc>
        <w:tc>
          <w:tcPr>
            <w:tcW w:w="0" w:type="dxa"/>
            <w:vAlign w:val="bottom"/>
          </w:tcPr>
          <w:p>
            <w:pPr>
              <w:spacing w:after="0"/>
              <w:rPr>
                <w:sz w:val="1"/>
                <w:szCs w:val="1"/>
                <w:color w:val="auto"/>
              </w:rPr>
            </w:pPr>
          </w:p>
        </w:tc>
      </w:tr>
      <w:tr>
        <w:trPr>
          <w:trHeight w:val="153"/>
        </w:trPr>
        <w:tc>
          <w:tcPr>
            <w:tcW w:w="3820" w:type="dxa"/>
            <w:vAlign w:val="bottom"/>
            <w:shd w:val="clear" w:color="auto" w:fill="EEF2F7"/>
          </w:tcPr>
          <w:p>
            <w:pPr>
              <w:spacing w:after="0" w:line="153" w:lineRule="exact"/>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EEF2F7"/>
          </w:tcPr>
          <w:p>
            <w:pPr>
              <w:jc w:val="right"/>
              <w:spacing w:after="0" w:line="153" w:lineRule="exact"/>
              <w:rPr>
                <w:sz w:val="20"/>
                <w:szCs w:val="20"/>
                <w:color w:val="auto"/>
              </w:rPr>
            </w:pPr>
            <w:r>
              <w:rPr>
                <w:rFonts w:ascii="Arial" w:cs="Arial" w:eastAsia="Arial" w:hAnsi="Arial"/>
                <w:sz w:val="14"/>
                <w:szCs w:val="14"/>
                <w:color w:val="auto"/>
              </w:rPr>
              <w:t>(5,341,71</w:t>
            </w:r>
          </w:p>
        </w:tc>
        <w:tc>
          <w:tcPr>
            <w:tcW w:w="2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240" w:type="dxa"/>
            <w:vAlign w:val="bottom"/>
            <w:shd w:val="clear" w:color="auto" w:fill="EEF2F7"/>
          </w:tcPr>
          <w:p>
            <w:pPr>
              <w:spacing w:after="0"/>
              <w:rPr>
                <w:sz w:val="13"/>
                <w:szCs w:val="13"/>
                <w:color w:val="auto"/>
              </w:rPr>
            </w:pPr>
          </w:p>
        </w:tc>
        <w:tc>
          <w:tcPr>
            <w:tcW w:w="76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EEF2F7"/>
          </w:tcPr>
          <w:p>
            <w:pPr>
              <w:spacing w:after="0"/>
              <w:rPr>
                <w:sz w:val="14"/>
                <w:szCs w:val="14"/>
                <w:color w:val="auto"/>
              </w:rPr>
            </w:pPr>
          </w:p>
        </w:tc>
        <w:tc>
          <w:tcPr>
            <w:tcW w:w="1020" w:type="dxa"/>
            <w:vAlign w:val="bottom"/>
            <w:gridSpan w:val="2"/>
            <w:shd w:val="clear" w:color="auto" w:fill="EEF2F7"/>
          </w:tcPr>
          <w:p>
            <w:pPr>
              <w:jc w:val="right"/>
              <w:ind w:right="200"/>
              <w:spacing w:after="0"/>
              <w:rPr>
                <w:sz w:val="20"/>
                <w:szCs w:val="20"/>
                <w:color w:val="auto"/>
              </w:rPr>
            </w:pPr>
            <w:r>
              <w:rPr>
                <w:rFonts w:ascii="Arial" w:cs="Arial" w:eastAsia="Arial" w:hAnsi="Arial"/>
                <w:sz w:val="14"/>
                <w:szCs w:val="14"/>
                <w:color w:val="auto"/>
              </w:rPr>
              <w:t>2)</w:t>
            </w:r>
          </w:p>
        </w:tc>
        <w:tc>
          <w:tcPr>
            <w:tcW w:w="80" w:type="dxa"/>
            <w:vAlign w:val="bottom"/>
            <w:shd w:val="clear" w:color="auto" w:fill="EEF2F7"/>
          </w:tcPr>
          <w:p>
            <w:pPr>
              <w:spacing w:after="0"/>
              <w:rPr>
                <w:sz w:val="14"/>
                <w:szCs w:val="14"/>
                <w:color w:val="auto"/>
              </w:rPr>
            </w:pPr>
          </w:p>
        </w:tc>
        <w:tc>
          <w:tcPr>
            <w:tcW w:w="840" w:type="dxa"/>
            <w:vAlign w:val="bottom"/>
            <w:gridSpan w:val="2"/>
            <w:shd w:val="clear" w:color="auto" w:fill="EEF2F7"/>
          </w:tcPr>
          <w:p>
            <w:pPr>
              <w:jc w:val="right"/>
              <w:ind w:right="200"/>
              <w:spacing w:after="0"/>
              <w:rPr>
                <w:sz w:val="20"/>
                <w:szCs w:val="20"/>
                <w:color w:val="auto"/>
              </w:rPr>
            </w:pPr>
            <w:r>
              <w:rPr>
                <w:rFonts w:ascii="Arial" w:cs="Arial" w:eastAsia="Arial" w:hAnsi="Arial"/>
                <w:sz w:val="14"/>
                <w:szCs w:val="14"/>
                <w:color w:val="auto"/>
              </w:rPr>
              <w:t>(5)</w:t>
            </w:r>
          </w:p>
        </w:tc>
        <w:tc>
          <w:tcPr>
            <w:tcW w:w="90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80"/>
              <w:spacing w:after="0"/>
              <w:rPr>
                <w:sz w:val="20"/>
                <w:szCs w:val="20"/>
                <w:color w:val="auto"/>
              </w:rPr>
            </w:pPr>
            <w:r>
              <w:rPr>
                <w:rFonts w:ascii="Arial" w:cs="Arial" w:eastAsia="Arial" w:hAnsi="Arial"/>
                <w:sz w:val="14"/>
                <w:szCs w:val="14"/>
                <w:color w:val="auto"/>
              </w:rPr>
              <w:t>(11,816)</w:t>
            </w:r>
          </w:p>
        </w:tc>
        <w:tc>
          <w:tcPr>
            <w:tcW w:w="8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760" w:type="dxa"/>
            <w:vAlign w:val="bottom"/>
            <w:gridSpan w:val="2"/>
            <w:shd w:val="clear" w:color="auto" w:fill="EEF2F7"/>
          </w:tcPr>
          <w:p>
            <w:pPr>
              <w:jc w:val="right"/>
              <w:ind w:right="80"/>
              <w:spacing w:after="0"/>
              <w:rPr>
                <w:sz w:val="20"/>
                <w:szCs w:val="20"/>
                <w:color w:val="auto"/>
              </w:rPr>
            </w:pPr>
            <w:r>
              <w:rPr>
                <w:rFonts w:ascii="Arial" w:cs="Arial" w:eastAsia="Arial" w:hAnsi="Arial"/>
                <w:sz w:val="14"/>
                <w:szCs w:val="14"/>
                <w:color w:val="auto"/>
              </w:rPr>
              <w:t>(164,793)</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20" w:type="dxa"/>
            <w:vAlign w:val="bottom"/>
            <w:gridSpan w:val="2"/>
            <w:shd w:val="clear" w:color="auto" w:fill="EEF2F7"/>
          </w:tcPr>
          <w:p>
            <w:pPr>
              <w:jc w:val="right"/>
              <w:ind w:right="60"/>
              <w:spacing w:after="0"/>
              <w:rPr>
                <w:sz w:val="20"/>
                <w:szCs w:val="20"/>
                <w:color w:val="auto"/>
              </w:rPr>
            </w:pPr>
            <w:r>
              <w:rPr>
                <w:rFonts w:ascii="Arial" w:cs="Arial" w:eastAsia="Arial" w:hAnsi="Arial"/>
                <w:sz w:val="14"/>
                <w:szCs w:val="14"/>
                <w:color w:val="auto"/>
              </w:rPr>
              <w:t>(176,614)</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46"/>
        </w:trPr>
        <w:tc>
          <w:tcPr>
            <w:tcW w:w="3820" w:type="dxa"/>
            <w:vAlign w:val="bottom"/>
            <w:shd w:val="clear" w:color="auto" w:fill="EEF2F7"/>
          </w:tcPr>
          <w:p>
            <w:pPr>
              <w:spacing w:after="0" w:line="147" w:lineRule="exact"/>
              <w:rPr>
                <w:sz w:val="20"/>
                <w:szCs w:val="20"/>
                <w:color w:val="auto"/>
              </w:rPr>
            </w:pPr>
            <w:r>
              <w:rPr>
                <w:rFonts w:ascii="Arial" w:cs="Arial" w:eastAsia="Arial" w:hAnsi="Arial"/>
                <w:sz w:val="14"/>
                <w:szCs w:val="14"/>
                <w:color w:val="auto"/>
              </w:rPr>
              <w:t>Balance as of March 31, 2026</w:t>
            </w:r>
          </w:p>
        </w:tc>
        <w:tc>
          <w:tcPr>
            <w:tcW w:w="780" w:type="dxa"/>
            <w:vAlign w:val="bottom"/>
            <w:tcBorders>
              <w:top w:val="single" w:sz="8" w:color="auto"/>
            </w:tcBorders>
            <w:shd w:val="clear" w:color="auto" w:fill="EEF2F7"/>
          </w:tcPr>
          <w:p>
            <w:pPr>
              <w:jc w:val="right"/>
              <w:spacing w:after="0" w:line="147" w:lineRule="exact"/>
              <w:rPr>
                <w:sz w:val="20"/>
                <w:szCs w:val="20"/>
                <w:color w:val="auto"/>
              </w:rPr>
            </w:pPr>
            <w:r>
              <w:rPr>
                <w:rFonts w:ascii="Arial" w:cs="Arial" w:eastAsia="Arial" w:hAnsi="Arial"/>
                <w:sz w:val="14"/>
                <w:szCs w:val="14"/>
                <w:color w:val="auto"/>
              </w:rPr>
              <w:t>75,673,60</w:t>
            </w:r>
          </w:p>
        </w:tc>
        <w:tc>
          <w:tcPr>
            <w:tcW w:w="240" w:type="dxa"/>
            <w:vAlign w:val="bottom"/>
            <w:shd w:val="clear" w:color="auto" w:fill="EEF2F7"/>
          </w:tcPr>
          <w:p>
            <w:pPr>
              <w:spacing w:after="0"/>
              <w:rPr>
                <w:sz w:val="12"/>
                <w:szCs w:val="12"/>
                <w:color w:val="auto"/>
              </w:rPr>
            </w:pPr>
          </w:p>
        </w:tc>
        <w:tc>
          <w:tcPr>
            <w:tcW w:w="8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240" w:type="dxa"/>
            <w:vAlign w:val="bottom"/>
            <w:shd w:val="clear" w:color="auto" w:fill="EEF2F7"/>
          </w:tcPr>
          <w:p>
            <w:pPr>
              <w:spacing w:after="0"/>
              <w:rPr>
                <w:sz w:val="12"/>
                <w:szCs w:val="12"/>
                <w:color w:val="auto"/>
              </w:rPr>
            </w:pPr>
          </w:p>
        </w:tc>
        <w:tc>
          <w:tcPr>
            <w:tcW w:w="760" w:type="dxa"/>
            <w:vAlign w:val="bottom"/>
            <w:tcBorders>
              <w:top w:val="single" w:sz="8" w:color="auto"/>
            </w:tcBorders>
            <w:shd w:val="clear" w:color="auto" w:fill="EEF2F7"/>
          </w:tcPr>
          <w:p>
            <w:pPr>
              <w:jc w:val="right"/>
              <w:spacing w:after="0" w:line="147" w:lineRule="exact"/>
              <w:rPr>
                <w:sz w:val="20"/>
                <w:szCs w:val="20"/>
                <w:color w:val="auto"/>
              </w:rPr>
            </w:pPr>
            <w:r>
              <w:rPr>
                <w:rFonts w:ascii="Arial" w:cs="Arial" w:eastAsia="Arial" w:hAnsi="Arial"/>
                <w:sz w:val="14"/>
                <w:szCs w:val="14"/>
                <w:color w:val="auto"/>
              </w:rPr>
              <w:t>14,216,2</w:t>
            </w: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80" w:type="dxa"/>
            <w:vAlign w:val="bottom"/>
            <w:tcBorders>
              <w:top w:val="single" w:sz="8" w:color="auto"/>
            </w:tcBorders>
            <w:shd w:val="clear" w:color="auto" w:fill="EEF2F7"/>
          </w:tcPr>
          <w:p>
            <w:pPr>
              <w:spacing w:after="0"/>
              <w:rPr>
                <w:sz w:val="12"/>
                <w:szCs w:val="12"/>
                <w:color w:val="auto"/>
              </w:rPr>
            </w:pPr>
          </w:p>
        </w:tc>
        <w:tc>
          <w:tcPr>
            <w:tcW w:w="62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20" w:type="dxa"/>
            <w:vAlign w:val="bottom"/>
            <w:tcBorders>
              <w:top w:val="single" w:sz="8" w:color="auto"/>
            </w:tcBorders>
            <w:shd w:val="clear" w:color="auto" w:fill="EEF2F7"/>
          </w:tcPr>
          <w:p>
            <w:pPr>
              <w:spacing w:after="0"/>
              <w:rPr>
                <w:sz w:val="12"/>
                <w:szCs w:val="12"/>
                <w:color w:val="auto"/>
              </w:rPr>
            </w:pPr>
          </w:p>
        </w:tc>
        <w:tc>
          <w:tcPr>
            <w:tcW w:w="100" w:type="dxa"/>
            <w:vAlign w:val="bottom"/>
            <w:shd w:val="clear" w:color="auto" w:fill="EEF2F7"/>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820" w:type="dxa"/>
            <w:vAlign w:val="bottom"/>
            <w:shd w:val="clear" w:color="auto" w:fill="EEF2F7"/>
          </w:tcPr>
          <w:p>
            <w:pPr>
              <w:spacing w:after="0"/>
              <w:rPr>
                <w:sz w:val="18"/>
                <w:szCs w:val="18"/>
                <w:color w:val="auto"/>
              </w:rPr>
            </w:pPr>
          </w:p>
        </w:tc>
        <w:tc>
          <w:tcPr>
            <w:tcW w:w="780" w:type="dxa"/>
            <w:vAlign w:val="bottom"/>
            <w:shd w:val="clear" w:color="auto" w:fill="EEF2F7"/>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EEF2F7"/>
          </w:tcPr>
          <w:p>
            <w:pPr>
              <w:spacing w:after="0"/>
              <w:rPr>
                <w:sz w:val="18"/>
                <w:szCs w:val="18"/>
                <w:color w:val="auto"/>
              </w:rPr>
            </w:pPr>
          </w:p>
        </w:tc>
        <w:tc>
          <w:tcPr>
            <w:tcW w:w="80" w:type="dxa"/>
            <w:vAlign w:val="bottom"/>
            <w:shd w:val="clear" w:color="auto" w:fill="EEF2F7"/>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76</w:t>
            </w:r>
          </w:p>
        </w:tc>
        <w:tc>
          <w:tcPr>
            <w:tcW w:w="240" w:type="dxa"/>
            <w:vAlign w:val="bottom"/>
            <w:shd w:val="clear" w:color="auto" w:fill="EEF2F7"/>
          </w:tcPr>
          <w:p>
            <w:pPr>
              <w:spacing w:after="0"/>
              <w:rPr>
                <w:sz w:val="18"/>
                <w:szCs w:val="18"/>
                <w:color w:val="auto"/>
              </w:rPr>
            </w:pPr>
          </w:p>
        </w:tc>
        <w:tc>
          <w:tcPr>
            <w:tcW w:w="760" w:type="dxa"/>
            <w:vAlign w:val="bottom"/>
            <w:shd w:val="clear" w:color="auto" w:fill="EEF2F7"/>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EEF2F7"/>
          </w:tcPr>
          <w:p>
            <w:pPr>
              <w:spacing w:after="0"/>
              <w:rPr>
                <w:sz w:val="18"/>
                <w:szCs w:val="18"/>
                <w:color w:val="auto"/>
              </w:rPr>
            </w:pPr>
          </w:p>
        </w:tc>
        <w:tc>
          <w:tcPr>
            <w:tcW w:w="80" w:type="dxa"/>
            <w:vAlign w:val="bottom"/>
            <w:shd w:val="clear" w:color="auto" w:fill="EEF2F7"/>
          </w:tcPr>
          <w:p>
            <w:pPr>
              <w:spacing w:after="0"/>
              <w:rPr>
                <w:sz w:val="18"/>
                <w:szCs w:val="18"/>
                <w:color w:val="auto"/>
              </w:rPr>
            </w:pPr>
          </w:p>
        </w:tc>
        <w:tc>
          <w:tcPr>
            <w:tcW w:w="100" w:type="dxa"/>
            <w:vAlign w:val="bottom"/>
            <w:shd w:val="clear" w:color="auto" w:fill="EEF2F7"/>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EEF2F7"/>
          </w:tcPr>
          <w:p>
            <w:pPr>
              <w:spacing w:after="0"/>
              <w:rPr>
                <w:sz w:val="18"/>
                <w:szCs w:val="18"/>
                <w:color w:val="auto"/>
              </w:rPr>
            </w:pPr>
          </w:p>
        </w:tc>
        <w:tc>
          <w:tcPr>
            <w:tcW w:w="80" w:type="dxa"/>
            <w:vAlign w:val="bottom"/>
            <w:shd w:val="clear" w:color="auto" w:fill="EEF2F7"/>
          </w:tcPr>
          <w:p>
            <w:pPr>
              <w:spacing w:after="0"/>
              <w:rPr>
                <w:sz w:val="18"/>
                <w:szCs w:val="18"/>
                <w:color w:val="auto"/>
              </w:rPr>
            </w:pPr>
          </w:p>
        </w:tc>
        <w:tc>
          <w:tcPr>
            <w:tcW w:w="100" w:type="dxa"/>
            <w:vAlign w:val="bottom"/>
            <w:shd w:val="clear" w:color="auto" w:fill="EEF2F7"/>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6,776</w:t>
            </w:r>
          </w:p>
        </w:tc>
        <w:tc>
          <w:tcPr>
            <w:tcW w:w="140" w:type="dxa"/>
            <w:vAlign w:val="bottom"/>
            <w:shd w:val="clear" w:color="auto" w:fill="EEF2F7"/>
          </w:tcPr>
          <w:p>
            <w:pPr>
              <w:spacing w:after="0"/>
              <w:rPr>
                <w:sz w:val="18"/>
                <w:szCs w:val="18"/>
                <w:color w:val="auto"/>
              </w:rPr>
            </w:pPr>
          </w:p>
        </w:tc>
        <w:tc>
          <w:tcPr>
            <w:tcW w:w="80" w:type="dxa"/>
            <w:vAlign w:val="bottom"/>
            <w:shd w:val="clear" w:color="auto" w:fill="EEF2F7"/>
          </w:tcPr>
          <w:p>
            <w:pPr>
              <w:spacing w:after="0"/>
              <w:rPr>
                <w:sz w:val="18"/>
                <w:szCs w:val="18"/>
                <w:color w:val="auto"/>
              </w:rPr>
            </w:pPr>
          </w:p>
        </w:tc>
        <w:tc>
          <w:tcPr>
            <w:tcW w:w="80" w:type="dxa"/>
            <w:vAlign w:val="bottom"/>
            <w:shd w:val="clear" w:color="auto" w:fill="EEF2F7"/>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229,815</w:t>
            </w:r>
          </w:p>
        </w:tc>
        <w:tc>
          <w:tcPr>
            <w:tcW w:w="140" w:type="dxa"/>
            <w:vAlign w:val="bottom"/>
            <w:shd w:val="clear" w:color="auto" w:fill="EEF2F7"/>
          </w:tcPr>
          <w:p>
            <w:pPr>
              <w:spacing w:after="0"/>
              <w:rPr>
                <w:sz w:val="18"/>
                <w:szCs w:val="18"/>
                <w:color w:val="auto"/>
              </w:rPr>
            </w:pPr>
          </w:p>
        </w:tc>
        <w:tc>
          <w:tcPr>
            <w:tcW w:w="180" w:type="dxa"/>
            <w:vAlign w:val="bottom"/>
            <w:gridSpan w:val="2"/>
            <w:shd w:val="clear" w:color="auto" w:fill="EEF2F7"/>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447</w:t>
            </w:r>
          </w:p>
        </w:tc>
        <w:tc>
          <w:tcPr>
            <w:tcW w:w="140" w:type="dxa"/>
            <w:vAlign w:val="bottom"/>
            <w:shd w:val="clear" w:color="auto" w:fill="EEF2F7"/>
          </w:tcPr>
          <w:p>
            <w:pPr>
              <w:spacing w:after="0"/>
              <w:rPr>
                <w:sz w:val="18"/>
                <w:szCs w:val="18"/>
                <w:color w:val="auto"/>
              </w:rPr>
            </w:pPr>
          </w:p>
        </w:tc>
        <w:tc>
          <w:tcPr>
            <w:tcW w:w="180" w:type="dxa"/>
            <w:vAlign w:val="bottom"/>
            <w:gridSpan w:val="2"/>
            <w:shd w:val="clear" w:color="auto" w:fill="EEF2F7"/>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237,128</w:t>
            </w:r>
          </w:p>
        </w:tc>
        <w:tc>
          <w:tcPr>
            <w:tcW w:w="100" w:type="dxa"/>
            <w:vAlign w:val="bottom"/>
            <w:shd w:val="clear" w:color="auto" w:fill="EEF2F7"/>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820" w:type="dxa"/>
            <w:vAlign w:val="bottom"/>
            <w:tcBorders>
              <w:top w:val="single" w:sz="8" w:color="EEF2F7"/>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40" w:type="dxa"/>
            <w:vAlign w:val="bottom"/>
            <w:tcBorders>
              <w:top w:val="single" w:sz="8" w:color="EEF2F7"/>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240" w:type="dxa"/>
            <w:vAlign w:val="bottom"/>
            <w:tcBorders>
              <w:top w:val="single" w:sz="8" w:color="EEF2F7"/>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40" w:type="dxa"/>
            <w:vAlign w:val="bottom"/>
            <w:tcBorders>
              <w:top w:val="single" w:sz="8" w:color="EEF2F7"/>
            </w:tcBorders>
          </w:tcPr>
          <w:p>
            <w:pPr>
              <w:spacing w:after="0"/>
              <w:rPr>
                <w:sz w:val="23"/>
                <w:szCs w:val="23"/>
                <w:color w:val="auto"/>
              </w:rPr>
            </w:pPr>
          </w:p>
        </w:tc>
        <w:tc>
          <w:tcPr>
            <w:tcW w:w="80" w:type="dxa"/>
            <w:vAlign w:val="bottom"/>
            <w:tcBorders>
              <w:top w:val="single" w:sz="8" w:color="EEF2F7"/>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40" w:type="dxa"/>
            <w:vAlign w:val="bottom"/>
            <w:tcBorders>
              <w:top w:val="single" w:sz="8" w:color="EEF2F7"/>
            </w:tcBorders>
          </w:tcPr>
          <w:p>
            <w:pPr>
              <w:spacing w:after="0"/>
              <w:rPr>
                <w:sz w:val="23"/>
                <w:szCs w:val="23"/>
                <w:color w:val="auto"/>
              </w:rPr>
            </w:pPr>
          </w:p>
        </w:tc>
        <w:tc>
          <w:tcPr>
            <w:tcW w:w="80" w:type="dxa"/>
            <w:vAlign w:val="bottom"/>
            <w:tcBorders>
              <w:top w:val="single" w:sz="8" w:color="EEF2F7"/>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40" w:type="dxa"/>
            <w:vAlign w:val="bottom"/>
            <w:tcBorders>
              <w:top w:val="single" w:sz="8" w:color="EEF2F7"/>
            </w:tcBorders>
          </w:tcPr>
          <w:p>
            <w:pPr>
              <w:spacing w:after="0"/>
              <w:rPr>
                <w:sz w:val="23"/>
                <w:szCs w:val="23"/>
                <w:color w:val="auto"/>
              </w:rPr>
            </w:pPr>
          </w:p>
        </w:tc>
        <w:tc>
          <w:tcPr>
            <w:tcW w:w="80" w:type="dxa"/>
            <w:vAlign w:val="bottom"/>
            <w:tcBorders>
              <w:top w:val="single" w:sz="8" w:color="EEF2F7"/>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40" w:type="dxa"/>
            <w:vAlign w:val="bottom"/>
            <w:tcBorders>
              <w:top w:val="single" w:sz="8" w:color="EEF2F7"/>
            </w:tcBorders>
          </w:tcPr>
          <w:p>
            <w:pPr>
              <w:spacing w:after="0"/>
              <w:rPr>
                <w:sz w:val="23"/>
                <w:szCs w:val="23"/>
                <w:color w:val="auto"/>
              </w:rPr>
            </w:pPr>
          </w:p>
        </w:tc>
        <w:tc>
          <w:tcPr>
            <w:tcW w:w="80" w:type="dxa"/>
            <w:vAlign w:val="bottom"/>
            <w:tcBorders>
              <w:top w:val="single" w:sz="8" w:color="EEF2F7"/>
            </w:tcBorders>
          </w:tcPr>
          <w:p>
            <w:pPr>
              <w:spacing w:after="0"/>
              <w:rPr>
                <w:sz w:val="23"/>
                <w:szCs w:val="23"/>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Accumulat</w:t>
            </w:r>
          </w:p>
        </w:tc>
        <w:tc>
          <w:tcPr>
            <w:tcW w:w="140" w:type="dxa"/>
            <w:vAlign w:val="bottom"/>
            <w:tcBorders>
              <w:top w:val="single" w:sz="8" w:color="EEF2F7"/>
            </w:tcBorders>
          </w:tcPr>
          <w:p>
            <w:pPr>
              <w:spacing w:after="0"/>
              <w:rPr>
                <w:sz w:val="23"/>
                <w:szCs w:val="23"/>
                <w:color w:val="auto"/>
              </w:rPr>
            </w:pPr>
          </w:p>
        </w:tc>
        <w:tc>
          <w:tcPr>
            <w:tcW w:w="80" w:type="dxa"/>
            <w:vAlign w:val="bottom"/>
            <w:tcBorders>
              <w:top w:val="single" w:sz="8" w:color="EEF2F7"/>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EEF2F7"/>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100" w:type="dxa"/>
            <w:vAlign w:val="bottom"/>
            <w:gridSpan w:val="3"/>
            <w:vMerge w:val="restart"/>
          </w:tcPr>
          <w:p>
            <w:pPr>
              <w:jc w:val="center"/>
              <w:ind w:left="510"/>
              <w:spacing w:after="0"/>
              <w:rPr>
                <w:sz w:val="20"/>
                <w:szCs w:val="20"/>
                <w:color w:val="auto"/>
              </w:rPr>
            </w:pPr>
            <w:r>
              <w:rPr>
                <w:rFonts w:ascii="Arial" w:cs="Arial" w:eastAsia="Arial" w:hAnsi="Arial"/>
                <w:sz w:val="13"/>
                <w:szCs w:val="13"/>
                <w:b w:val="1"/>
                <w:bCs w:val="1"/>
                <w:color w:val="auto"/>
              </w:rPr>
              <w:t>Class A</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Class B</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0"/>
                <w:szCs w:val="10"/>
                <w:color w:val="auto"/>
              </w:rPr>
            </w:pPr>
          </w:p>
        </w:tc>
        <w:tc>
          <w:tcPr>
            <w:tcW w:w="840" w:type="dxa"/>
            <w:vAlign w:val="bottom"/>
            <w:gridSpan w:val="3"/>
          </w:tcPr>
          <w:p>
            <w:pPr>
              <w:jc w:val="center"/>
              <w:ind w:right="140"/>
              <w:spacing w:after="0" w:line="126" w:lineRule="exact"/>
              <w:rPr>
                <w:sz w:val="20"/>
                <w:szCs w:val="20"/>
                <w:color w:val="auto"/>
              </w:rPr>
            </w:pPr>
            <w:r>
              <w:rPr>
                <w:rFonts w:ascii="Arial" w:cs="Arial" w:eastAsia="Arial" w:hAnsi="Arial"/>
                <w:sz w:val="13"/>
                <w:szCs w:val="13"/>
                <w:b w:val="1"/>
                <w:bCs w:val="1"/>
                <w:color w:val="auto"/>
                <w:w w:val="96"/>
              </w:rPr>
              <w:t>Comprehe</w:t>
            </w:r>
          </w:p>
        </w:tc>
        <w:tc>
          <w:tcPr>
            <w:tcW w:w="80" w:type="dxa"/>
            <w:vAlign w:val="bottom"/>
          </w:tcPr>
          <w:p>
            <w:pPr>
              <w:spacing w:after="0"/>
              <w:rPr>
                <w:sz w:val="10"/>
                <w:szCs w:val="10"/>
                <w:color w:val="auto"/>
              </w:rPr>
            </w:pPr>
          </w:p>
        </w:tc>
        <w:tc>
          <w:tcPr>
            <w:tcW w:w="8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Stockholde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6"/>
              </w:rPr>
              <w:t>Common Stock</w:t>
            </w:r>
          </w:p>
        </w:tc>
        <w:tc>
          <w:tcPr>
            <w:tcW w:w="182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rs’</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1"/>
                <w:szCs w:val="11"/>
                <w:color w:val="auto"/>
              </w:rPr>
            </w:pPr>
          </w:p>
        </w:tc>
        <w:tc>
          <w:tcPr>
            <w:tcW w:w="840" w:type="dxa"/>
            <w:vAlign w:val="bottom"/>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8"/>
              </w:rPr>
              <w:t>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6"/>
        </w:trPr>
        <w:tc>
          <w:tcPr>
            <w:tcW w:w="3820" w:type="dxa"/>
            <w:vAlign w:val="bottom"/>
            <w:shd w:val="clear" w:color="auto" w:fill="EEF2F7"/>
          </w:tcPr>
          <w:p>
            <w:pPr>
              <w:spacing w:after="0" w:line="147" w:lineRule="exact"/>
              <w:rPr>
                <w:sz w:val="20"/>
                <w:szCs w:val="20"/>
                <w:color w:val="auto"/>
              </w:rPr>
            </w:pPr>
            <w:r>
              <w:rPr>
                <w:rFonts w:ascii="Arial" w:cs="Arial" w:eastAsia="Arial" w:hAnsi="Arial"/>
                <w:sz w:val="14"/>
                <w:szCs w:val="14"/>
                <w:color w:val="auto"/>
              </w:rPr>
              <w:t>Balance as of December 31, 2024</w:t>
            </w:r>
          </w:p>
        </w:tc>
        <w:tc>
          <w:tcPr>
            <w:tcW w:w="780" w:type="dxa"/>
            <w:vAlign w:val="bottom"/>
            <w:tcBorders>
              <w:top w:val="single" w:sz="8" w:color="auto"/>
            </w:tcBorders>
            <w:shd w:val="clear" w:color="auto" w:fill="EEF2F7"/>
          </w:tcPr>
          <w:p>
            <w:pPr>
              <w:jc w:val="right"/>
              <w:spacing w:after="0" w:line="147" w:lineRule="exact"/>
              <w:rPr>
                <w:sz w:val="20"/>
                <w:szCs w:val="20"/>
                <w:color w:val="auto"/>
              </w:rPr>
            </w:pPr>
            <w:r>
              <w:rPr>
                <w:rFonts w:ascii="Arial" w:cs="Arial" w:eastAsia="Arial" w:hAnsi="Arial"/>
                <w:sz w:val="14"/>
                <w:szCs w:val="14"/>
                <w:color w:val="auto"/>
              </w:rPr>
              <w:t>89,002,57</w:t>
            </w:r>
          </w:p>
        </w:tc>
        <w:tc>
          <w:tcPr>
            <w:tcW w:w="240" w:type="dxa"/>
            <w:vAlign w:val="bottom"/>
            <w:shd w:val="clear" w:color="auto" w:fill="EEF2F7"/>
          </w:tcPr>
          <w:p>
            <w:pPr>
              <w:spacing w:after="0"/>
              <w:rPr>
                <w:sz w:val="12"/>
                <w:szCs w:val="12"/>
                <w:color w:val="auto"/>
              </w:rPr>
            </w:pPr>
          </w:p>
        </w:tc>
        <w:tc>
          <w:tcPr>
            <w:tcW w:w="8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240" w:type="dxa"/>
            <w:vAlign w:val="bottom"/>
            <w:shd w:val="clear" w:color="auto" w:fill="EEF2F7"/>
          </w:tcPr>
          <w:p>
            <w:pPr>
              <w:spacing w:after="0"/>
              <w:rPr>
                <w:sz w:val="12"/>
                <w:szCs w:val="12"/>
                <w:color w:val="auto"/>
              </w:rPr>
            </w:pPr>
          </w:p>
        </w:tc>
        <w:tc>
          <w:tcPr>
            <w:tcW w:w="760" w:type="dxa"/>
            <w:vAlign w:val="bottom"/>
            <w:tcBorders>
              <w:top w:val="single" w:sz="8" w:color="auto"/>
            </w:tcBorders>
            <w:shd w:val="clear" w:color="auto" w:fill="EEF2F7"/>
          </w:tcPr>
          <w:p>
            <w:pPr>
              <w:jc w:val="right"/>
              <w:spacing w:after="0" w:line="147" w:lineRule="exact"/>
              <w:rPr>
                <w:sz w:val="20"/>
                <w:szCs w:val="20"/>
                <w:color w:val="auto"/>
              </w:rPr>
            </w:pPr>
            <w:r>
              <w:rPr>
                <w:rFonts w:ascii="Arial" w:cs="Arial" w:eastAsia="Arial" w:hAnsi="Arial"/>
                <w:sz w:val="14"/>
                <w:szCs w:val="14"/>
                <w:color w:val="auto"/>
              </w:rPr>
              <w:t>14,986,7</w:t>
            </w: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80" w:type="dxa"/>
            <w:vAlign w:val="bottom"/>
            <w:tcBorders>
              <w:top w:val="single" w:sz="8" w:color="auto"/>
            </w:tcBorders>
            <w:shd w:val="clear" w:color="auto" w:fill="EEF2F7"/>
          </w:tcPr>
          <w:p>
            <w:pPr>
              <w:spacing w:after="0"/>
              <w:rPr>
                <w:sz w:val="12"/>
                <w:szCs w:val="12"/>
                <w:color w:val="auto"/>
              </w:rPr>
            </w:pPr>
          </w:p>
        </w:tc>
        <w:tc>
          <w:tcPr>
            <w:tcW w:w="62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00" w:type="dxa"/>
            <w:vAlign w:val="bottom"/>
            <w:tcBorders>
              <w:top w:val="single" w:sz="8" w:color="auto"/>
            </w:tcBorders>
            <w:shd w:val="clear" w:color="auto" w:fill="EEF2F7"/>
          </w:tcPr>
          <w:p>
            <w:pPr>
              <w:spacing w:after="0"/>
              <w:rPr>
                <w:sz w:val="12"/>
                <w:szCs w:val="12"/>
                <w:color w:val="auto"/>
              </w:rPr>
            </w:pPr>
          </w:p>
        </w:tc>
        <w:tc>
          <w:tcPr>
            <w:tcW w:w="140" w:type="dxa"/>
            <w:vAlign w:val="bottom"/>
            <w:shd w:val="clear" w:color="auto" w:fill="EEF2F7"/>
          </w:tcPr>
          <w:p>
            <w:pPr>
              <w:spacing w:after="0"/>
              <w:rPr>
                <w:sz w:val="12"/>
                <w:szCs w:val="12"/>
                <w:color w:val="auto"/>
              </w:rPr>
            </w:pPr>
          </w:p>
        </w:tc>
        <w:tc>
          <w:tcPr>
            <w:tcW w:w="80" w:type="dxa"/>
            <w:vAlign w:val="bottom"/>
            <w:shd w:val="clear" w:color="auto" w:fill="EEF2F7"/>
          </w:tcPr>
          <w:p>
            <w:pPr>
              <w:spacing w:after="0"/>
              <w:rPr>
                <w:sz w:val="12"/>
                <w:szCs w:val="12"/>
                <w:color w:val="auto"/>
              </w:rPr>
            </w:pPr>
          </w:p>
        </w:tc>
        <w:tc>
          <w:tcPr>
            <w:tcW w:w="100" w:type="dxa"/>
            <w:vAlign w:val="bottom"/>
            <w:tcBorders>
              <w:top w:val="single" w:sz="8" w:color="auto"/>
            </w:tcBorders>
            <w:shd w:val="clear" w:color="auto" w:fill="EEF2F7"/>
          </w:tcPr>
          <w:p>
            <w:pPr>
              <w:spacing w:after="0"/>
              <w:rPr>
                <w:sz w:val="12"/>
                <w:szCs w:val="12"/>
                <w:color w:val="auto"/>
              </w:rPr>
            </w:pPr>
          </w:p>
        </w:tc>
        <w:tc>
          <w:tcPr>
            <w:tcW w:w="620" w:type="dxa"/>
            <w:vAlign w:val="bottom"/>
            <w:tcBorders>
              <w:top w:val="single" w:sz="8" w:color="auto"/>
            </w:tcBorders>
            <w:shd w:val="clear" w:color="auto" w:fill="EEF2F7"/>
          </w:tcPr>
          <w:p>
            <w:pPr>
              <w:spacing w:after="0"/>
              <w:rPr>
                <w:sz w:val="12"/>
                <w:szCs w:val="12"/>
                <w:color w:val="auto"/>
              </w:rPr>
            </w:pPr>
          </w:p>
        </w:tc>
        <w:tc>
          <w:tcPr>
            <w:tcW w:w="100" w:type="dxa"/>
            <w:vAlign w:val="bottom"/>
            <w:shd w:val="clear" w:color="auto" w:fill="EEF2F7"/>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EEF2F7"/>
          </w:tcPr>
          <w:p>
            <w:pPr>
              <w:spacing w:after="0"/>
              <w:rPr>
                <w:sz w:val="14"/>
                <w:szCs w:val="14"/>
                <w:color w:val="auto"/>
              </w:rPr>
            </w:pPr>
          </w:p>
        </w:tc>
        <w:tc>
          <w:tcPr>
            <w:tcW w:w="78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EEF2F7"/>
          </w:tcPr>
          <w:p>
            <w:pPr>
              <w:spacing w:after="0"/>
              <w:rPr>
                <w:sz w:val="14"/>
                <w:szCs w:val="14"/>
                <w:color w:val="auto"/>
              </w:rPr>
            </w:pPr>
          </w:p>
        </w:tc>
        <w:tc>
          <w:tcPr>
            <w:tcW w:w="80" w:type="dxa"/>
            <w:vAlign w:val="bottom"/>
            <w:shd w:val="clear" w:color="auto" w:fill="EEF2F7"/>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89</w:t>
            </w:r>
          </w:p>
        </w:tc>
        <w:tc>
          <w:tcPr>
            <w:tcW w:w="240" w:type="dxa"/>
            <w:vAlign w:val="bottom"/>
            <w:shd w:val="clear" w:color="auto" w:fill="EEF2F7"/>
          </w:tcPr>
          <w:p>
            <w:pPr>
              <w:spacing w:after="0"/>
              <w:rPr>
                <w:sz w:val="14"/>
                <w:szCs w:val="14"/>
                <w:color w:val="auto"/>
              </w:rPr>
            </w:pPr>
          </w:p>
        </w:tc>
        <w:tc>
          <w:tcPr>
            <w:tcW w:w="760" w:type="dxa"/>
            <w:vAlign w:val="bottom"/>
            <w:shd w:val="clear" w:color="auto" w:fill="EEF2F7"/>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EEF2F7"/>
          </w:tcPr>
          <w:p>
            <w:pPr>
              <w:spacing w:after="0"/>
              <w:rPr>
                <w:sz w:val="14"/>
                <w:szCs w:val="14"/>
                <w:color w:val="auto"/>
              </w:rPr>
            </w:pPr>
          </w:p>
        </w:tc>
        <w:tc>
          <w:tcPr>
            <w:tcW w:w="180" w:type="dxa"/>
            <w:vAlign w:val="bottom"/>
            <w:gridSpan w:val="2"/>
            <w:shd w:val="clear" w:color="auto" w:fill="EEF2F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EEF2F7"/>
          </w:tcPr>
          <w:p>
            <w:pPr>
              <w:spacing w:after="0"/>
              <w:rPr>
                <w:sz w:val="14"/>
                <w:szCs w:val="14"/>
                <w:color w:val="auto"/>
              </w:rPr>
            </w:pPr>
          </w:p>
        </w:tc>
        <w:tc>
          <w:tcPr>
            <w:tcW w:w="180" w:type="dxa"/>
            <w:vAlign w:val="bottom"/>
            <w:gridSpan w:val="2"/>
            <w:shd w:val="clear" w:color="auto" w:fill="EEF2F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169,013</w:t>
            </w:r>
          </w:p>
        </w:tc>
        <w:tc>
          <w:tcPr>
            <w:tcW w:w="140" w:type="dxa"/>
            <w:vAlign w:val="bottom"/>
            <w:shd w:val="clear" w:color="auto" w:fill="EEF2F7"/>
          </w:tcPr>
          <w:p>
            <w:pPr>
              <w:spacing w:after="0"/>
              <w:rPr>
                <w:sz w:val="14"/>
                <w:szCs w:val="14"/>
                <w:color w:val="auto"/>
              </w:rPr>
            </w:pPr>
          </w:p>
        </w:tc>
        <w:tc>
          <w:tcPr>
            <w:tcW w:w="160" w:type="dxa"/>
            <w:vAlign w:val="bottom"/>
            <w:gridSpan w:val="2"/>
            <w:shd w:val="clear" w:color="auto" w:fill="EEF2F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375,119</w:t>
            </w:r>
          </w:p>
        </w:tc>
        <w:tc>
          <w:tcPr>
            <w:tcW w:w="140" w:type="dxa"/>
            <w:vAlign w:val="bottom"/>
            <w:shd w:val="clear" w:color="auto" w:fill="EEF2F7"/>
          </w:tcPr>
          <w:p>
            <w:pPr>
              <w:spacing w:after="0"/>
              <w:rPr>
                <w:sz w:val="14"/>
                <w:szCs w:val="14"/>
                <w:color w:val="auto"/>
              </w:rPr>
            </w:pPr>
          </w:p>
        </w:tc>
        <w:tc>
          <w:tcPr>
            <w:tcW w:w="180" w:type="dxa"/>
            <w:vAlign w:val="bottom"/>
            <w:gridSpan w:val="2"/>
            <w:shd w:val="clear" w:color="auto" w:fill="EEF2F7"/>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EF2F7"/>
          </w:tcPr>
          <w:p>
            <w:pPr>
              <w:jc w:val="right"/>
              <w:ind w:right="100"/>
              <w:spacing w:after="0"/>
              <w:rPr>
                <w:sz w:val="20"/>
                <w:szCs w:val="20"/>
                <w:color w:val="auto"/>
              </w:rPr>
            </w:pPr>
            <w:r>
              <w:rPr>
                <w:rFonts w:ascii="Arial" w:cs="Arial" w:eastAsia="Arial" w:hAnsi="Arial"/>
                <w:sz w:val="14"/>
                <w:szCs w:val="14"/>
                <w:color w:val="auto"/>
              </w:rPr>
              <w:t>(2,547)</w:t>
            </w:r>
          </w:p>
        </w:tc>
        <w:tc>
          <w:tcPr>
            <w:tcW w:w="180" w:type="dxa"/>
            <w:vAlign w:val="bottom"/>
            <w:gridSpan w:val="2"/>
            <w:shd w:val="clear" w:color="auto" w:fill="EEF2F7"/>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541,689</w:t>
            </w:r>
          </w:p>
        </w:tc>
        <w:tc>
          <w:tcPr>
            <w:tcW w:w="100" w:type="dxa"/>
            <w:vAlign w:val="bottom"/>
            <w:shd w:val="clear" w:color="auto" w:fill="EEF2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Consolidated net income</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39,045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39,045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EEF2F7"/>
          </w:tcPr>
          <w:p>
            <w:pPr>
              <w:spacing w:after="0"/>
              <w:rPr>
                <w:sz w:val="20"/>
                <w:szCs w:val="20"/>
                <w:color w:val="auto"/>
              </w:rPr>
            </w:pPr>
            <w:r>
              <w:rPr>
                <w:rFonts w:ascii="Arial" w:cs="Arial" w:eastAsia="Arial" w:hAnsi="Arial"/>
                <w:sz w:val="14"/>
                <w:szCs w:val="14"/>
                <w:color w:val="auto"/>
              </w:rPr>
              <w:t>Stock–based compensation expense</w:t>
            </w:r>
          </w:p>
        </w:tc>
        <w:tc>
          <w:tcPr>
            <w:tcW w:w="102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84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14,538</w:t>
            </w:r>
          </w:p>
        </w:tc>
        <w:tc>
          <w:tcPr>
            <w:tcW w:w="14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76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14,538</w:t>
            </w:r>
          </w:p>
        </w:tc>
        <w:tc>
          <w:tcPr>
            <w:tcW w:w="100" w:type="dxa"/>
            <w:vAlign w:val="bottom"/>
            <w:shd w:val="clear" w:color="auto" w:fill="EEF2F7"/>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16,426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EEF2F7"/>
          </w:tcPr>
          <w:p>
            <w:pPr>
              <w:spacing w:after="0" w:line="153" w:lineRule="exact"/>
              <w:rPr>
                <w:sz w:val="20"/>
                <w:szCs w:val="20"/>
                <w:color w:val="auto"/>
              </w:rPr>
            </w:pPr>
            <w:r>
              <w:rPr>
                <w:rFonts w:ascii="Arial" w:cs="Arial" w:eastAsia="Arial" w:hAnsi="Arial"/>
                <w:sz w:val="14"/>
                <w:szCs w:val="14"/>
                <w:color w:val="auto"/>
              </w:rPr>
              <w:t>Issuance of common stock upon vesting of restricted</w:t>
            </w:r>
          </w:p>
        </w:tc>
        <w:tc>
          <w:tcPr>
            <w:tcW w:w="780" w:type="dxa"/>
            <w:vAlign w:val="bottom"/>
            <w:shd w:val="clear" w:color="auto" w:fill="EEF2F7"/>
          </w:tcPr>
          <w:p>
            <w:pPr>
              <w:spacing w:after="0"/>
              <w:rPr>
                <w:sz w:val="13"/>
                <w:szCs w:val="13"/>
                <w:color w:val="auto"/>
              </w:rPr>
            </w:pPr>
          </w:p>
        </w:tc>
        <w:tc>
          <w:tcPr>
            <w:tcW w:w="2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240" w:type="dxa"/>
            <w:vAlign w:val="bottom"/>
            <w:shd w:val="clear" w:color="auto" w:fill="EEF2F7"/>
          </w:tcPr>
          <w:p>
            <w:pPr>
              <w:spacing w:after="0"/>
              <w:rPr>
                <w:sz w:val="13"/>
                <w:szCs w:val="13"/>
                <w:color w:val="auto"/>
              </w:rPr>
            </w:pPr>
          </w:p>
        </w:tc>
        <w:tc>
          <w:tcPr>
            <w:tcW w:w="76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EEF2F7"/>
          </w:tcPr>
          <w:p>
            <w:pPr>
              <w:spacing w:after="0"/>
              <w:rPr>
                <w:sz w:val="20"/>
                <w:szCs w:val="20"/>
                <w:color w:val="auto"/>
              </w:rPr>
            </w:pPr>
            <w:r>
              <w:rPr>
                <w:rFonts w:ascii="Arial" w:cs="Arial" w:eastAsia="Arial" w:hAnsi="Arial"/>
                <w:sz w:val="14"/>
                <w:szCs w:val="14"/>
                <w:color w:val="auto"/>
              </w:rPr>
              <w:t>stock units</w:t>
            </w:r>
          </w:p>
        </w:tc>
        <w:tc>
          <w:tcPr>
            <w:tcW w:w="780" w:type="dxa"/>
            <w:vAlign w:val="bottom"/>
            <w:shd w:val="clear" w:color="auto" w:fill="EEF2F7"/>
          </w:tcPr>
          <w:p>
            <w:pPr>
              <w:jc w:val="right"/>
              <w:spacing w:after="0"/>
              <w:rPr>
                <w:sz w:val="20"/>
                <w:szCs w:val="20"/>
                <w:color w:val="auto"/>
              </w:rPr>
            </w:pPr>
            <w:r>
              <w:rPr>
                <w:rFonts w:ascii="Arial" w:cs="Arial" w:eastAsia="Arial" w:hAnsi="Arial"/>
                <w:sz w:val="14"/>
                <w:szCs w:val="14"/>
                <w:color w:val="auto"/>
              </w:rPr>
              <w:t>715,951</w:t>
            </w:r>
          </w:p>
        </w:tc>
        <w:tc>
          <w:tcPr>
            <w:tcW w:w="24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84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76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20" w:type="dxa"/>
            <w:vAlign w:val="bottom"/>
            <w:gridSpan w:val="2"/>
            <w:shd w:val="clear" w:color="auto" w:fill="EEF2F7"/>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4"/>
                <w:szCs w:val="14"/>
                <w:color w:val="auto"/>
              </w:rPr>
              <w:t>Withholding taxes on net share settlements of restricted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color w:val="auto"/>
              </w:rPr>
              <w:t>stock units</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(251,366)</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(8,987)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(8,987)</w:t>
            </w:r>
          </w:p>
        </w:tc>
        <w:tc>
          <w:tcPr>
            <w:tcW w:w="0" w:type="dxa"/>
            <w:vAlign w:val="bottom"/>
          </w:tcPr>
          <w:p>
            <w:pPr>
              <w:spacing w:after="0"/>
              <w:rPr>
                <w:sz w:val="1"/>
                <w:szCs w:val="1"/>
                <w:color w:val="auto"/>
              </w:rPr>
            </w:pPr>
          </w:p>
        </w:tc>
      </w:tr>
      <w:tr>
        <w:trPr>
          <w:trHeight w:val="153"/>
        </w:trPr>
        <w:tc>
          <w:tcPr>
            <w:tcW w:w="3820" w:type="dxa"/>
            <w:vAlign w:val="bottom"/>
            <w:shd w:val="clear" w:color="auto" w:fill="EEF2F7"/>
          </w:tcPr>
          <w:p>
            <w:pPr>
              <w:spacing w:after="0" w:line="153" w:lineRule="exact"/>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EEF2F7"/>
          </w:tcPr>
          <w:p>
            <w:pPr>
              <w:jc w:val="right"/>
              <w:spacing w:after="0" w:line="153" w:lineRule="exact"/>
              <w:rPr>
                <w:sz w:val="20"/>
                <w:szCs w:val="20"/>
                <w:color w:val="auto"/>
              </w:rPr>
            </w:pPr>
            <w:r>
              <w:rPr>
                <w:rFonts w:ascii="Arial" w:cs="Arial" w:eastAsia="Arial" w:hAnsi="Arial"/>
                <w:sz w:val="14"/>
                <w:szCs w:val="14"/>
                <w:color w:val="auto"/>
              </w:rPr>
              <w:t>(5,919,43</w:t>
            </w:r>
          </w:p>
        </w:tc>
        <w:tc>
          <w:tcPr>
            <w:tcW w:w="2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240" w:type="dxa"/>
            <w:vAlign w:val="bottom"/>
            <w:shd w:val="clear" w:color="auto" w:fill="EEF2F7"/>
          </w:tcPr>
          <w:p>
            <w:pPr>
              <w:spacing w:after="0"/>
              <w:rPr>
                <w:sz w:val="13"/>
                <w:szCs w:val="13"/>
                <w:color w:val="auto"/>
              </w:rPr>
            </w:pPr>
          </w:p>
        </w:tc>
        <w:tc>
          <w:tcPr>
            <w:tcW w:w="76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00" w:type="dxa"/>
            <w:vAlign w:val="bottom"/>
            <w:shd w:val="clear" w:color="auto" w:fill="EEF2F7"/>
          </w:tcPr>
          <w:p>
            <w:pPr>
              <w:spacing w:after="0"/>
              <w:rPr>
                <w:sz w:val="13"/>
                <w:szCs w:val="13"/>
                <w:color w:val="auto"/>
              </w:rPr>
            </w:pPr>
          </w:p>
        </w:tc>
        <w:tc>
          <w:tcPr>
            <w:tcW w:w="140" w:type="dxa"/>
            <w:vAlign w:val="bottom"/>
            <w:shd w:val="clear" w:color="auto" w:fill="EEF2F7"/>
          </w:tcPr>
          <w:p>
            <w:pPr>
              <w:spacing w:after="0"/>
              <w:rPr>
                <w:sz w:val="13"/>
                <w:szCs w:val="13"/>
                <w:color w:val="auto"/>
              </w:rPr>
            </w:pPr>
          </w:p>
        </w:tc>
        <w:tc>
          <w:tcPr>
            <w:tcW w:w="8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EEF2F7"/>
          </w:tcPr>
          <w:p>
            <w:pPr>
              <w:spacing w:after="0"/>
              <w:rPr>
                <w:sz w:val="14"/>
                <w:szCs w:val="14"/>
                <w:color w:val="auto"/>
              </w:rPr>
            </w:pPr>
          </w:p>
        </w:tc>
        <w:tc>
          <w:tcPr>
            <w:tcW w:w="1020" w:type="dxa"/>
            <w:vAlign w:val="bottom"/>
            <w:gridSpan w:val="2"/>
            <w:shd w:val="clear" w:color="auto" w:fill="EEF2F7"/>
          </w:tcPr>
          <w:p>
            <w:pPr>
              <w:jc w:val="right"/>
              <w:ind w:right="200"/>
              <w:spacing w:after="0"/>
              <w:rPr>
                <w:sz w:val="20"/>
                <w:szCs w:val="20"/>
                <w:color w:val="auto"/>
              </w:rPr>
            </w:pPr>
            <w:r>
              <w:rPr>
                <w:rFonts w:ascii="Arial" w:cs="Arial" w:eastAsia="Arial" w:hAnsi="Arial"/>
                <w:sz w:val="14"/>
                <w:szCs w:val="14"/>
                <w:color w:val="auto"/>
              </w:rPr>
              <w:t>5)</w:t>
            </w:r>
          </w:p>
        </w:tc>
        <w:tc>
          <w:tcPr>
            <w:tcW w:w="80" w:type="dxa"/>
            <w:vAlign w:val="bottom"/>
            <w:shd w:val="clear" w:color="auto" w:fill="EEF2F7"/>
          </w:tcPr>
          <w:p>
            <w:pPr>
              <w:spacing w:after="0"/>
              <w:rPr>
                <w:sz w:val="14"/>
                <w:szCs w:val="14"/>
                <w:color w:val="auto"/>
              </w:rPr>
            </w:pPr>
          </w:p>
        </w:tc>
        <w:tc>
          <w:tcPr>
            <w:tcW w:w="840" w:type="dxa"/>
            <w:vAlign w:val="bottom"/>
            <w:gridSpan w:val="2"/>
            <w:shd w:val="clear" w:color="auto" w:fill="EEF2F7"/>
          </w:tcPr>
          <w:p>
            <w:pPr>
              <w:jc w:val="right"/>
              <w:ind w:right="200"/>
              <w:spacing w:after="0"/>
              <w:rPr>
                <w:sz w:val="20"/>
                <w:szCs w:val="20"/>
                <w:color w:val="auto"/>
              </w:rPr>
            </w:pPr>
            <w:r>
              <w:rPr>
                <w:rFonts w:ascii="Arial" w:cs="Arial" w:eastAsia="Arial" w:hAnsi="Arial"/>
                <w:sz w:val="14"/>
                <w:szCs w:val="14"/>
                <w:color w:val="auto"/>
              </w:rPr>
              <w:t>(6)</w:t>
            </w:r>
          </w:p>
        </w:tc>
        <w:tc>
          <w:tcPr>
            <w:tcW w:w="90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80"/>
              <w:spacing w:after="0"/>
              <w:rPr>
                <w:sz w:val="20"/>
                <w:szCs w:val="20"/>
                <w:color w:val="auto"/>
              </w:rPr>
            </w:pPr>
            <w:r>
              <w:rPr>
                <w:rFonts w:ascii="Arial" w:cs="Arial" w:eastAsia="Arial" w:hAnsi="Arial"/>
                <w:sz w:val="14"/>
                <w:szCs w:val="14"/>
                <w:color w:val="auto"/>
              </w:rPr>
              <w:t>(168,183)</w:t>
            </w:r>
          </w:p>
        </w:tc>
        <w:tc>
          <w:tcPr>
            <w:tcW w:w="8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760" w:type="dxa"/>
            <w:vAlign w:val="bottom"/>
            <w:gridSpan w:val="2"/>
            <w:shd w:val="clear" w:color="auto" w:fill="EEF2F7"/>
          </w:tcPr>
          <w:p>
            <w:pPr>
              <w:jc w:val="right"/>
              <w:ind w:right="80"/>
              <w:spacing w:after="0"/>
              <w:rPr>
                <w:sz w:val="20"/>
                <w:szCs w:val="20"/>
                <w:color w:val="auto"/>
              </w:rPr>
            </w:pPr>
            <w:r>
              <w:rPr>
                <w:rFonts w:ascii="Arial" w:cs="Arial" w:eastAsia="Arial" w:hAnsi="Arial"/>
                <w:sz w:val="14"/>
                <w:szCs w:val="14"/>
                <w:color w:val="auto"/>
              </w:rPr>
              <w:t>(17,678)</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20" w:type="dxa"/>
            <w:vAlign w:val="bottom"/>
            <w:gridSpan w:val="2"/>
            <w:shd w:val="clear" w:color="auto" w:fill="EEF2F7"/>
          </w:tcPr>
          <w:p>
            <w:pPr>
              <w:jc w:val="right"/>
              <w:ind w:right="60"/>
              <w:spacing w:after="0"/>
              <w:rPr>
                <w:sz w:val="20"/>
                <w:szCs w:val="20"/>
                <w:color w:val="auto"/>
              </w:rPr>
            </w:pPr>
            <w:r>
              <w:rPr>
                <w:rFonts w:ascii="Arial" w:cs="Arial" w:eastAsia="Arial" w:hAnsi="Arial"/>
                <w:sz w:val="14"/>
                <w:szCs w:val="14"/>
                <w:color w:val="auto"/>
              </w:rPr>
              <w:t>(185,867)</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Conversion of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770,495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(770,495)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20" w:type="dxa"/>
            <w:vAlign w:val="bottom"/>
            <w:shd w:val="clear" w:color="auto" w:fill="EEF2F7"/>
          </w:tcPr>
          <w:p>
            <w:pPr>
              <w:spacing w:after="0"/>
              <w:rPr>
                <w:sz w:val="20"/>
                <w:szCs w:val="20"/>
                <w:color w:val="auto"/>
              </w:rPr>
            </w:pPr>
            <w:r>
              <w:rPr>
                <w:rFonts w:ascii="Arial" w:cs="Arial" w:eastAsia="Arial" w:hAnsi="Arial"/>
                <w:sz w:val="14"/>
                <w:szCs w:val="14"/>
                <w:color w:val="auto"/>
              </w:rPr>
              <w:t>Foreign currency translation adjustment</w:t>
            </w:r>
          </w:p>
        </w:tc>
        <w:tc>
          <w:tcPr>
            <w:tcW w:w="102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840" w:type="dxa"/>
            <w:vAlign w:val="bottom"/>
            <w:gridSpan w:val="2"/>
            <w:shd w:val="clear" w:color="auto" w:fill="EEF2F7"/>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740" w:type="dxa"/>
            <w:vAlign w:val="bottom"/>
            <w:gridSpan w:val="2"/>
            <w:shd w:val="clear" w:color="auto" w:fill="EEF2F7"/>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760" w:type="dxa"/>
            <w:vAlign w:val="bottom"/>
            <w:gridSpan w:val="2"/>
            <w:shd w:val="clear" w:color="auto" w:fill="EEF2F7"/>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6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1,238</w:t>
            </w:r>
          </w:p>
        </w:tc>
        <w:tc>
          <w:tcPr>
            <w:tcW w:w="140" w:type="dxa"/>
            <w:vAlign w:val="bottom"/>
            <w:shd w:val="clear" w:color="auto" w:fill="EEF2F7"/>
          </w:tcPr>
          <w:p>
            <w:pPr>
              <w:spacing w:after="0"/>
              <w:rPr>
                <w:sz w:val="14"/>
                <w:szCs w:val="14"/>
                <w:color w:val="auto"/>
              </w:rPr>
            </w:pPr>
          </w:p>
        </w:tc>
        <w:tc>
          <w:tcPr>
            <w:tcW w:w="8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EEF2F7"/>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820" w:type="dxa"/>
            <w:vAlign w:val="bottom"/>
            <w:tcBorders>
              <w:top w:val="single" w:sz="8" w:color="EEF2F7"/>
            </w:tcBorders>
          </w:tcPr>
          <w:p>
            <w:pPr>
              <w:spacing w:after="0" w:line="147" w:lineRule="exact"/>
              <w:rPr>
                <w:sz w:val="20"/>
                <w:szCs w:val="20"/>
                <w:color w:val="auto"/>
              </w:rPr>
            </w:pPr>
            <w:r>
              <w:rPr>
                <w:rFonts w:ascii="Arial" w:cs="Arial" w:eastAsia="Arial" w:hAnsi="Arial"/>
                <w:sz w:val="14"/>
                <w:szCs w:val="14"/>
                <w:color w:val="auto"/>
              </w:rPr>
              <w:t>Balance as of March 31, 2025</w:t>
            </w:r>
          </w:p>
        </w:tc>
        <w:tc>
          <w:tcPr>
            <w:tcW w:w="7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84,334,64</w:t>
            </w:r>
          </w:p>
        </w:tc>
        <w:tc>
          <w:tcPr>
            <w:tcW w:w="240" w:type="dxa"/>
            <w:vAlign w:val="bottom"/>
            <w:tcBorders>
              <w:top w:val="single" w:sz="8" w:color="EEF2F7"/>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EEF2F7"/>
            </w:tcBorders>
          </w:tcPr>
          <w:p>
            <w:pPr>
              <w:spacing w:after="0"/>
              <w:rPr>
                <w:sz w:val="12"/>
                <w:szCs w:val="12"/>
                <w:color w:val="auto"/>
              </w:rPr>
            </w:pPr>
          </w:p>
        </w:tc>
        <w:tc>
          <w:tcPr>
            <w:tcW w:w="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14,216,2</w:t>
            </w:r>
          </w:p>
        </w:tc>
        <w:tc>
          <w:tcPr>
            <w:tcW w:w="140" w:type="dxa"/>
            <w:vAlign w:val="bottom"/>
            <w:tcBorders>
              <w:top w:val="single" w:sz="8" w:color="EEF2F7"/>
            </w:tcBorders>
          </w:tcPr>
          <w:p>
            <w:pPr>
              <w:spacing w:after="0"/>
              <w:rPr>
                <w:sz w:val="12"/>
                <w:szCs w:val="12"/>
                <w:color w:val="auto"/>
              </w:rPr>
            </w:pPr>
          </w:p>
        </w:tc>
        <w:tc>
          <w:tcPr>
            <w:tcW w:w="80" w:type="dxa"/>
            <w:vAlign w:val="bottom"/>
            <w:tcBorders>
              <w:top w:val="single" w:sz="8" w:color="EEF2F7"/>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EEF2F7"/>
            </w:tcBorders>
          </w:tcPr>
          <w:p>
            <w:pPr>
              <w:spacing w:after="0"/>
              <w:rPr>
                <w:sz w:val="12"/>
                <w:szCs w:val="12"/>
                <w:color w:val="auto"/>
              </w:rPr>
            </w:pPr>
          </w:p>
        </w:tc>
        <w:tc>
          <w:tcPr>
            <w:tcW w:w="80" w:type="dxa"/>
            <w:vAlign w:val="bottom"/>
            <w:tcBorders>
              <w:top w:val="single" w:sz="8" w:color="EEF2F7"/>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EEF2F7"/>
            </w:tcBorders>
          </w:tcPr>
          <w:p>
            <w:pPr>
              <w:spacing w:after="0"/>
              <w:rPr>
                <w:sz w:val="12"/>
                <w:szCs w:val="12"/>
                <w:color w:val="auto"/>
              </w:rPr>
            </w:pPr>
          </w:p>
        </w:tc>
        <w:tc>
          <w:tcPr>
            <w:tcW w:w="80" w:type="dxa"/>
            <w:vAlign w:val="bottom"/>
            <w:tcBorders>
              <w:top w:val="single" w:sz="8" w:color="EEF2F7"/>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EEF2F7"/>
            </w:tcBorders>
          </w:tcPr>
          <w:p>
            <w:pPr>
              <w:spacing w:after="0"/>
              <w:rPr>
                <w:sz w:val="12"/>
                <w:szCs w:val="12"/>
                <w:color w:val="auto"/>
              </w:rPr>
            </w:pPr>
          </w:p>
        </w:tc>
        <w:tc>
          <w:tcPr>
            <w:tcW w:w="80" w:type="dxa"/>
            <w:vAlign w:val="bottom"/>
            <w:tcBorders>
              <w:top w:val="single" w:sz="8" w:color="EEF2F7"/>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EEF2F7"/>
            </w:tcBorders>
          </w:tcPr>
          <w:p>
            <w:pPr>
              <w:spacing w:after="0"/>
              <w:rPr>
                <w:sz w:val="12"/>
                <w:szCs w:val="12"/>
                <w:color w:val="auto"/>
              </w:rPr>
            </w:pPr>
          </w:p>
        </w:tc>
        <w:tc>
          <w:tcPr>
            <w:tcW w:w="80" w:type="dxa"/>
            <w:vAlign w:val="bottom"/>
            <w:tcBorders>
              <w:top w:val="single" w:sz="8" w:color="EEF2F7"/>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EEF2F7"/>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6,775</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396,486</w:t>
            </w:r>
          </w:p>
        </w:tc>
        <w:tc>
          <w:tcPr>
            <w:tcW w:w="14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(1,309)</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402,050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-2339340</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-2322195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-2339340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-2322195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-2339340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-2322195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-2339340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-2322195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-2339340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-2322195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-2339340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-2322195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-2339340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-2322195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-239395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-239395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-239395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-239395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-239395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-239395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-239395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00002D"/>
        </w:rPr>
        <w:t>The accompanying notes are an integral part of these Unaudited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CarGurus,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Unaudited 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6820" w:type="dxa"/>
            <w:vAlign w:val="bottom"/>
            <w:shd w:val="clear" w:color="auto" w:fill="EEF2F7"/>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900" w:type="dxa"/>
            <w:vAlign w:val="bottom"/>
            <w:shd w:val="clear" w:color="auto" w:fill="EEF2F7"/>
          </w:tcPr>
          <w:p>
            <w:pPr>
              <w:spacing w:after="0"/>
              <w:rPr>
                <w:sz w:val="13"/>
                <w:szCs w:val="13"/>
                <w:color w:val="auto"/>
              </w:rPr>
            </w:pPr>
          </w:p>
        </w:tc>
        <w:tc>
          <w:tcPr>
            <w:tcW w:w="94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80" w:type="dxa"/>
            <w:vAlign w:val="bottom"/>
            <w:shd w:val="clear" w:color="auto" w:fill="EEF2F7"/>
          </w:tcPr>
          <w:p>
            <w:pPr>
              <w:spacing w:after="0"/>
              <w:rPr>
                <w:sz w:val="13"/>
                <w:szCs w:val="13"/>
                <w:color w:val="auto"/>
              </w:rPr>
            </w:pPr>
          </w:p>
        </w:tc>
        <w:tc>
          <w:tcPr>
            <w:tcW w:w="120" w:type="dxa"/>
            <w:vAlign w:val="bottom"/>
            <w:shd w:val="clear" w:color="auto" w:fill="EEF2F7"/>
          </w:tcPr>
          <w:p>
            <w:pPr>
              <w:spacing w:after="0"/>
              <w:rPr>
                <w:sz w:val="13"/>
                <w:szCs w:val="13"/>
                <w:color w:val="auto"/>
              </w:rPr>
            </w:pPr>
          </w:p>
        </w:tc>
        <w:tc>
          <w:tcPr>
            <w:tcW w:w="560" w:type="dxa"/>
            <w:vAlign w:val="bottom"/>
            <w:shd w:val="clear" w:color="auto" w:fill="EEF2F7"/>
          </w:tcPr>
          <w:p>
            <w:pPr>
              <w:spacing w:after="0"/>
              <w:rPr>
                <w:sz w:val="13"/>
                <w:szCs w:val="13"/>
                <w:color w:val="auto"/>
              </w:rPr>
            </w:pPr>
          </w:p>
        </w:tc>
        <w:tc>
          <w:tcPr>
            <w:tcW w:w="100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Consolidated net income</w:t>
            </w:r>
          </w:p>
        </w:tc>
        <w:tc>
          <w:tcPr>
            <w:tcW w:w="184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32,228</w:t>
            </w:r>
          </w:p>
        </w:tc>
        <w:tc>
          <w:tcPr>
            <w:tcW w:w="180" w:type="dxa"/>
            <w:vAlign w:val="bottom"/>
          </w:tcPr>
          <w:p>
            <w:pPr>
              <w:spacing w:after="0"/>
              <w:rPr>
                <w:sz w:val="14"/>
                <w:szCs w:val="14"/>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39,045</w:t>
            </w: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spacing w:after="0"/>
              <w:rPr>
                <w:sz w:val="14"/>
                <w:szCs w:val="14"/>
                <w:color w:val="auto"/>
              </w:rPr>
            </w:pP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6,554</w:t>
            </w: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Currency loss (gain) on foreign denominated transactions</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129</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100" w:type="dxa"/>
            <w:vAlign w:val="bottom"/>
            <w:gridSpan w:val="2"/>
            <w:shd w:val="clear" w:color="auto" w:fill="EEF2F7"/>
          </w:tcPr>
          <w:p>
            <w:pPr>
              <w:jc w:val="right"/>
              <w:ind w:right="60"/>
              <w:spacing w:after="0"/>
              <w:rPr>
                <w:sz w:val="20"/>
                <w:szCs w:val="20"/>
                <w:color w:val="auto"/>
              </w:rPr>
            </w:pPr>
            <w:r>
              <w:rPr>
                <w:rFonts w:ascii="Arial" w:cs="Arial" w:eastAsia="Arial" w:hAnsi="Arial"/>
                <w:sz w:val="14"/>
                <w:szCs w:val="14"/>
                <w:color w:val="auto"/>
              </w:rPr>
              <w:t>(165)</w:t>
            </w: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Deferred taxes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(3,389)</w:t>
            </w: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Provision for doubtful accounts</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935</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12,900</w:t>
            </w: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Amortization of deferred financing costs</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129</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Amortization of deferred contract costs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4,702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3,810</w:t>
            </w: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Impairments</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19,711</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100" w:type="dxa"/>
            <w:vAlign w:val="bottom"/>
            <w:gridSpan w:val="2"/>
            <w:shd w:val="clear" w:color="auto" w:fill="EEF2F7"/>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ind w:left="12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800" w:type="dxa"/>
            <w:vAlign w:val="bottom"/>
            <w:gridSpan w:val="2"/>
            <w:shd w:val="clear" w:color="auto" w:fill="EEF2F7"/>
          </w:tcPr>
          <w:p>
            <w:pPr>
              <w:jc w:val="right"/>
              <w:ind w:right="120"/>
              <w:spacing w:after="0"/>
              <w:rPr>
                <w:sz w:val="20"/>
                <w:szCs w:val="20"/>
                <w:color w:val="auto"/>
              </w:rPr>
            </w:pPr>
            <w:r>
              <w:rPr>
                <w:rFonts w:ascii="Arial" w:cs="Arial" w:eastAsia="Arial" w:hAnsi="Arial"/>
                <w:sz w:val="14"/>
                <w:szCs w:val="14"/>
                <w:color w:val="auto"/>
              </w:rPr>
              <w:t>(3,659)</w:t>
            </w: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3,070</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(353)</w:t>
            </w:r>
          </w:p>
        </w:tc>
      </w:tr>
      <w:tr>
        <w:trPr>
          <w:trHeight w:val="162"/>
        </w:trPr>
        <w:tc>
          <w:tcPr>
            <w:tcW w:w="6820" w:type="dxa"/>
            <w:vAlign w:val="bottom"/>
            <w:shd w:val="clear" w:color="auto" w:fill="EEF2F7"/>
          </w:tcPr>
          <w:p>
            <w:pPr>
              <w:ind w:left="120"/>
              <w:spacing w:after="0"/>
              <w:rPr>
                <w:sz w:val="20"/>
                <w:szCs w:val="20"/>
                <w:color w:val="auto"/>
              </w:rPr>
            </w:pPr>
            <w:r>
              <w:rPr>
                <w:rFonts w:ascii="Arial" w:cs="Arial" w:eastAsia="Arial" w:hAnsi="Arial"/>
                <w:sz w:val="14"/>
                <w:szCs w:val="14"/>
                <w:color w:val="auto"/>
              </w:rPr>
              <w:t>Prepaid expenses, prepaid income taxes, and other assets</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4,666</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6,801</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ind w:left="120"/>
              <w:spacing w:after="0"/>
              <w:rPr>
                <w:sz w:val="20"/>
                <w:szCs w:val="20"/>
                <w:color w:val="auto"/>
              </w:rPr>
            </w:pPr>
            <w:r>
              <w:rPr>
                <w:rFonts w:ascii="Arial" w:cs="Arial" w:eastAsia="Arial" w:hAnsi="Arial"/>
                <w:sz w:val="14"/>
                <w:szCs w:val="14"/>
                <w:color w:val="auto"/>
              </w:rPr>
              <w:t>Deferred contract costs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(4,412)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(4,744)</w:t>
            </w:r>
          </w:p>
        </w:tc>
      </w:tr>
      <w:tr>
        <w:trPr>
          <w:trHeight w:val="162"/>
        </w:trPr>
        <w:tc>
          <w:tcPr>
            <w:tcW w:w="6820" w:type="dxa"/>
            <w:vAlign w:val="bottom"/>
            <w:shd w:val="clear" w:color="auto" w:fill="EEF2F7"/>
          </w:tcPr>
          <w:p>
            <w:pPr>
              <w:ind w:left="12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1,172</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4,075</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ind w:left="120"/>
              <w:spacing w:after="0"/>
              <w:rPr>
                <w:sz w:val="20"/>
                <w:szCs w:val="20"/>
                <w:color w:val="auto"/>
              </w:rPr>
            </w:pPr>
            <w:r>
              <w:rPr>
                <w:rFonts w:ascii="Arial" w:cs="Arial" w:eastAsia="Arial" w:hAnsi="Arial"/>
                <w:sz w:val="14"/>
                <w:szCs w:val="14"/>
                <w:color w:val="auto"/>
              </w:rPr>
              <w:t>Accrued expenses, accrued income taxes, and other liabilities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(7,082)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(5,592)</w:t>
            </w:r>
          </w:p>
        </w:tc>
      </w:tr>
      <w:tr>
        <w:trPr>
          <w:trHeight w:val="162"/>
        </w:trPr>
        <w:tc>
          <w:tcPr>
            <w:tcW w:w="6820" w:type="dxa"/>
            <w:vAlign w:val="bottom"/>
            <w:shd w:val="clear" w:color="auto" w:fill="EEF2F7"/>
          </w:tcPr>
          <w:p>
            <w:pPr>
              <w:ind w:left="120"/>
              <w:spacing w:after="0"/>
              <w:rPr>
                <w:sz w:val="20"/>
                <w:szCs w:val="20"/>
                <w:color w:val="auto"/>
              </w:rPr>
            </w:pPr>
            <w:r>
              <w:rPr>
                <w:rFonts w:ascii="Arial" w:cs="Arial" w:eastAsia="Arial" w:hAnsi="Arial"/>
                <w:sz w:val="14"/>
                <w:szCs w:val="14"/>
                <w:color w:val="auto"/>
              </w:rPr>
              <w:t>Deferred revenue</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1,104</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ind w:left="120"/>
              <w:spacing w:after="0"/>
              <w:rPr>
                <w:sz w:val="20"/>
                <w:szCs w:val="20"/>
                <w:color w:val="auto"/>
              </w:rPr>
            </w:pPr>
            <w:r>
              <w:rPr>
                <w:rFonts w:ascii="Arial" w:cs="Arial" w:eastAsia="Arial" w:hAnsi="Arial"/>
                <w:sz w:val="14"/>
                <w:szCs w:val="14"/>
                <w:color w:val="auto"/>
              </w:rPr>
              <w:t>Lease obligations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4,583</w:t>
            </w:r>
          </w:p>
        </w:tc>
        <w:tc>
          <w:tcPr>
            <w:tcW w:w="100" w:type="dxa"/>
            <w:vAlign w:val="bottom"/>
          </w:tcPr>
          <w:p>
            <w:pPr>
              <w:spacing w:after="0"/>
              <w:rPr>
                <w:sz w:val="14"/>
                <w:szCs w:val="14"/>
                <w:color w:val="auto"/>
              </w:rPr>
            </w:pPr>
          </w:p>
        </w:tc>
      </w:tr>
      <w:tr>
        <w:trPr>
          <w:trHeight w:val="155"/>
        </w:trPr>
        <w:tc>
          <w:tcPr>
            <w:tcW w:w="6820" w:type="dxa"/>
            <w:vAlign w:val="bottom"/>
            <w:tcBorders>
              <w:bottom w:val="single" w:sz="8" w:color="EEF2F7"/>
            </w:tcBorders>
            <w:shd w:val="clear" w:color="auto" w:fill="EEF2F7"/>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EEF2F7"/>
            </w:tcBorders>
            <w:shd w:val="clear" w:color="auto" w:fill="EEF2F7"/>
          </w:tcPr>
          <w:p>
            <w:pPr>
              <w:spacing w:after="0"/>
              <w:rPr>
                <w:sz w:val="13"/>
                <w:szCs w:val="13"/>
                <w:color w:val="auto"/>
              </w:rPr>
            </w:pPr>
          </w:p>
        </w:tc>
        <w:tc>
          <w:tcPr>
            <w:tcW w:w="940" w:type="dxa"/>
            <w:vAlign w:val="bottom"/>
            <w:tcBorders>
              <w:top w:val="single" w:sz="8" w:color="auto"/>
              <w:bottom w:val="single" w:sz="8" w:color="auto"/>
            </w:tcBorders>
            <w:shd w:val="clear" w:color="auto" w:fill="EEF2F7"/>
          </w:tcPr>
          <w:p>
            <w:pPr>
              <w:spacing w:after="0"/>
              <w:rPr>
                <w:sz w:val="13"/>
                <w:szCs w:val="13"/>
                <w:color w:val="auto"/>
              </w:rPr>
            </w:pPr>
          </w:p>
        </w:tc>
        <w:tc>
          <w:tcPr>
            <w:tcW w:w="620" w:type="dxa"/>
            <w:vAlign w:val="bottom"/>
            <w:tcBorders>
              <w:top w:val="single" w:sz="8" w:color="auto"/>
              <w:bottom w:val="single" w:sz="8" w:color="auto"/>
            </w:tcBorders>
            <w:shd w:val="clear" w:color="auto" w:fill="EEF2F7"/>
          </w:tcPr>
          <w:p>
            <w:pPr>
              <w:jc w:val="right"/>
              <w:spacing w:after="0" w:line="155" w:lineRule="exact"/>
              <w:rPr>
                <w:sz w:val="20"/>
                <w:szCs w:val="20"/>
                <w:color w:val="auto"/>
              </w:rPr>
            </w:pPr>
            <w:r>
              <w:rPr>
                <w:rFonts w:ascii="Arial" w:cs="Arial" w:eastAsia="Arial" w:hAnsi="Arial"/>
                <w:sz w:val="14"/>
                <w:szCs w:val="14"/>
                <w:color w:val="auto"/>
              </w:rPr>
              <w:t>69,849</w:t>
            </w:r>
          </w:p>
        </w:tc>
        <w:tc>
          <w:tcPr>
            <w:tcW w:w="180" w:type="dxa"/>
            <w:vAlign w:val="bottom"/>
            <w:tcBorders>
              <w:bottom w:val="single" w:sz="8" w:color="EEF2F7"/>
            </w:tcBorders>
            <w:shd w:val="clear" w:color="auto" w:fill="EEF2F7"/>
          </w:tcPr>
          <w:p>
            <w:pPr>
              <w:spacing w:after="0"/>
              <w:rPr>
                <w:sz w:val="13"/>
                <w:szCs w:val="13"/>
                <w:color w:val="auto"/>
              </w:rPr>
            </w:pPr>
          </w:p>
        </w:tc>
        <w:tc>
          <w:tcPr>
            <w:tcW w:w="120" w:type="dxa"/>
            <w:vAlign w:val="bottom"/>
            <w:tcBorders>
              <w:bottom w:val="single" w:sz="8" w:color="EEF2F7"/>
            </w:tcBorders>
            <w:shd w:val="clear" w:color="auto" w:fill="EEF2F7"/>
          </w:tcPr>
          <w:p>
            <w:pPr>
              <w:spacing w:after="0"/>
              <w:rPr>
                <w:sz w:val="13"/>
                <w:szCs w:val="13"/>
                <w:color w:val="auto"/>
              </w:rPr>
            </w:pPr>
          </w:p>
        </w:tc>
        <w:tc>
          <w:tcPr>
            <w:tcW w:w="560" w:type="dxa"/>
            <w:vAlign w:val="bottom"/>
            <w:tcBorders>
              <w:top w:val="single" w:sz="8" w:color="auto"/>
              <w:bottom w:val="single" w:sz="8" w:color="auto"/>
            </w:tcBorders>
            <w:shd w:val="clear" w:color="auto" w:fill="EEF2F7"/>
          </w:tcPr>
          <w:p>
            <w:pPr>
              <w:spacing w:after="0"/>
              <w:rPr>
                <w:sz w:val="13"/>
                <w:szCs w:val="13"/>
                <w:color w:val="auto"/>
              </w:rPr>
            </w:pPr>
          </w:p>
        </w:tc>
        <w:tc>
          <w:tcPr>
            <w:tcW w:w="1000" w:type="dxa"/>
            <w:vAlign w:val="bottom"/>
            <w:tcBorders>
              <w:top w:val="single" w:sz="8" w:color="auto"/>
              <w:bottom w:val="single" w:sz="8" w:color="auto"/>
            </w:tcBorders>
            <w:shd w:val="clear" w:color="auto" w:fill="EEF2F7"/>
          </w:tcPr>
          <w:p>
            <w:pPr>
              <w:jc w:val="right"/>
              <w:spacing w:after="0" w:line="155" w:lineRule="exact"/>
              <w:rPr>
                <w:sz w:val="20"/>
                <w:szCs w:val="20"/>
                <w:color w:val="auto"/>
              </w:rPr>
            </w:pPr>
            <w:r>
              <w:rPr>
                <w:rFonts w:ascii="Arial" w:cs="Arial" w:eastAsia="Arial" w:hAnsi="Arial"/>
                <w:sz w:val="14"/>
                <w:szCs w:val="14"/>
                <w:color w:val="auto"/>
              </w:rPr>
              <w:t>67,879</w:t>
            </w:r>
          </w:p>
        </w:tc>
        <w:tc>
          <w:tcPr>
            <w:tcW w:w="100" w:type="dxa"/>
            <w:vAlign w:val="bottom"/>
            <w:tcBorders>
              <w:bottom w:val="single" w:sz="8" w:color="EEF2F7"/>
            </w:tcBorders>
            <w:shd w:val="clear" w:color="auto" w:fill="EEF2F7"/>
          </w:tcPr>
          <w:p>
            <w:pPr>
              <w:spacing w:after="0"/>
              <w:rPr>
                <w:sz w:val="13"/>
                <w:szCs w:val="13"/>
                <w:color w:val="auto"/>
              </w:rPr>
            </w:pPr>
          </w:p>
        </w:tc>
      </w:tr>
      <w:tr>
        <w:trPr>
          <w:trHeight w:val="156"/>
        </w:trPr>
        <w:tc>
          <w:tcPr>
            <w:tcW w:w="6820" w:type="dxa"/>
            <w:vAlign w:val="bottom"/>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800" w:type="dxa"/>
            <w:vAlign w:val="bottom"/>
            <w:gridSpan w:val="2"/>
            <w:shd w:val="clear" w:color="auto" w:fill="EEF2F7"/>
          </w:tcPr>
          <w:p>
            <w:pPr>
              <w:jc w:val="right"/>
              <w:ind w:right="120"/>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100" w:type="dxa"/>
            <w:vAlign w:val="bottom"/>
            <w:gridSpan w:val="2"/>
            <w:shd w:val="clear" w:color="auto" w:fill="EEF2F7"/>
          </w:tcPr>
          <w:p>
            <w:pPr>
              <w:jc w:val="right"/>
              <w:ind w:right="60"/>
              <w:spacing w:after="0"/>
              <w:rPr>
                <w:sz w:val="20"/>
                <w:szCs w:val="20"/>
                <w:color w:val="auto"/>
              </w:rPr>
            </w:pPr>
            <w:r>
              <w:rPr>
                <w:rFonts w:ascii="Arial" w:cs="Arial" w:eastAsia="Arial" w:hAnsi="Arial"/>
                <w:sz w:val="14"/>
                <w:szCs w:val="14"/>
                <w:color w:val="auto"/>
              </w:rPr>
              <w:t>(2,240)</w:t>
            </w: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Capitalization of website development costs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(6,301)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(5,391)</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820" w:type="dxa"/>
            <w:vAlign w:val="bottom"/>
            <w:shd w:val="clear" w:color="auto" w:fill="EEF2F7"/>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900" w:type="dxa"/>
            <w:vAlign w:val="bottom"/>
            <w:shd w:val="clear" w:color="auto" w:fill="EEF2F7"/>
          </w:tcPr>
          <w:p>
            <w:pPr>
              <w:spacing w:after="0"/>
              <w:rPr>
                <w:sz w:val="13"/>
                <w:szCs w:val="13"/>
                <w:color w:val="auto"/>
              </w:rPr>
            </w:pPr>
          </w:p>
        </w:tc>
        <w:tc>
          <w:tcPr>
            <w:tcW w:w="940" w:type="dxa"/>
            <w:vAlign w:val="bottom"/>
            <w:shd w:val="clear" w:color="auto" w:fill="EEF2F7"/>
          </w:tcPr>
          <w:p>
            <w:pPr>
              <w:spacing w:after="0"/>
              <w:rPr>
                <w:sz w:val="13"/>
                <w:szCs w:val="13"/>
                <w:color w:val="auto"/>
              </w:rPr>
            </w:pPr>
          </w:p>
        </w:tc>
        <w:tc>
          <w:tcPr>
            <w:tcW w:w="800" w:type="dxa"/>
            <w:vAlign w:val="bottom"/>
            <w:gridSpan w:val="2"/>
            <w:shd w:val="clear" w:color="auto" w:fill="EEF2F7"/>
          </w:tcPr>
          <w:p>
            <w:pPr>
              <w:jc w:val="right"/>
              <w:ind w:right="120"/>
              <w:spacing w:after="0" w:line="155" w:lineRule="exact"/>
              <w:rPr>
                <w:sz w:val="20"/>
                <w:szCs w:val="20"/>
                <w:color w:val="auto"/>
              </w:rPr>
            </w:pPr>
            <w:r>
              <w:rPr>
                <w:rFonts w:ascii="Arial" w:cs="Arial" w:eastAsia="Arial" w:hAnsi="Arial"/>
                <w:sz w:val="14"/>
                <w:szCs w:val="14"/>
                <w:color w:val="auto"/>
              </w:rPr>
              <w:t>(6,692)</w:t>
            </w:r>
          </w:p>
        </w:tc>
        <w:tc>
          <w:tcPr>
            <w:tcW w:w="120" w:type="dxa"/>
            <w:vAlign w:val="bottom"/>
            <w:shd w:val="clear" w:color="auto" w:fill="EEF2F7"/>
          </w:tcPr>
          <w:p>
            <w:pPr>
              <w:spacing w:after="0"/>
              <w:rPr>
                <w:sz w:val="13"/>
                <w:szCs w:val="13"/>
                <w:color w:val="auto"/>
              </w:rPr>
            </w:pPr>
          </w:p>
        </w:tc>
        <w:tc>
          <w:tcPr>
            <w:tcW w:w="560" w:type="dxa"/>
            <w:vAlign w:val="bottom"/>
            <w:shd w:val="clear" w:color="auto" w:fill="EEF2F7"/>
          </w:tcPr>
          <w:p>
            <w:pPr>
              <w:spacing w:after="0"/>
              <w:rPr>
                <w:sz w:val="13"/>
                <w:szCs w:val="13"/>
                <w:color w:val="auto"/>
              </w:rPr>
            </w:pPr>
          </w:p>
        </w:tc>
        <w:tc>
          <w:tcPr>
            <w:tcW w:w="1100" w:type="dxa"/>
            <w:vAlign w:val="bottom"/>
            <w:gridSpan w:val="2"/>
            <w:shd w:val="clear" w:color="auto" w:fill="EEF2F7"/>
          </w:tcPr>
          <w:p>
            <w:pPr>
              <w:jc w:val="right"/>
              <w:ind w:right="60"/>
              <w:spacing w:after="0" w:line="155" w:lineRule="exact"/>
              <w:rPr>
                <w:sz w:val="20"/>
                <w:szCs w:val="20"/>
                <w:color w:val="auto"/>
              </w:rPr>
            </w:pPr>
            <w:r>
              <w:rPr>
                <w:rFonts w:ascii="Arial" w:cs="Arial" w:eastAsia="Arial" w:hAnsi="Arial"/>
                <w:sz w:val="14"/>
                <w:szCs w:val="14"/>
                <w:color w:val="auto"/>
              </w:rPr>
              <w:t>(7,631)</w:t>
            </w:r>
          </w:p>
        </w:tc>
      </w:tr>
      <w:tr>
        <w:trPr>
          <w:trHeight w:val="155"/>
        </w:trPr>
        <w:tc>
          <w:tcPr>
            <w:tcW w:w="6820" w:type="dxa"/>
            <w:vAlign w:val="bottom"/>
            <w:tcBorders>
              <w:top w:val="single" w:sz="8" w:color="EEF2F7"/>
            </w:tcBorders>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900" w:type="dxa"/>
            <w:vAlign w:val="bottom"/>
            <w:tcBorders>
              <w:top w:val="single" w:sz="8" w:color="EEF2F7"/>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EEF2F7"/>
            </w:tcBorders>
          </w:tcPr>
          <w:p>
            <w:pPr>
              <w:spacing w:after="0"/>
              <w:rPr>
                <w:sz w:val="13"/>
                <w:szCs w:val="13"/>
                <w:color w:val="auto"/>
              </w:rPr>
            </w:pPr>
          </w:p>
        </w:tc>
        <w:tc>
          <w:tcPr>
            <w:tcW w:w="120" w:type="dxa"/>
            <w:vAlign w:val="bottom"/>
            <w:tcBorders>
              <w:top w:val="single" w:sz="8" w:color="EEF2F7"/>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EEF2F7"/>
            </w:tcBorders>
          </w:tcPr>
          <w:p>
            <w:pPr>
              <w:spacing w:after="0"/>
              <w:rPr>
                <w:sz w:val="13"/>
                <w:szCs w:val="13"/>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55</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Payment of withholding taxes on net share settlements of restricted stock units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(6,609)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(8,985)</w:t>
            </w: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Repurchases of common stock</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800" w:type="dxa"/>
            <w:vAlign w:val="bottom"/>
            <w:gridSpan w:val="2"/>
            <w:shd w:val="clear" w:color="auto" w:fill="EEF2F7"/>
          </w:tcPr>
          <w:p>
            <w:pPr>
              <w:jc w:val="right"/>
              <w:ind w:right="120"/>
              <w:spacing w:after="0"/>
              <w:rPr>
                <w:sz w:val="20"/>
                <w:szCs w:val="20"/>
                <w:color w:val="auto"/>
              </w:rPr>
            </w:pPr>
            <w:r>
              <w:rPr>
                <w:rFonts w:ascii="Arial" w:cs="Arial" w:eastAsia="Arial" w:hAnsi="Arial"/>
                <w:sz w:val="14"/>
                <w:szCs w:val="14"/>
                <w:color w:val="auto"/>
              </w:rPr>
              <w:t>(174,439)</w:t>
            </w: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100" w:type="dxa"/>
            <w:vAlign w:val="bottom"/>
            <w:gridSpan w:val="2"/>
            <w:shd w:val="clear" w:color="auto" w:fill="EEF2F7"/>
          </w:tcPr>
          <w:p>
            <w:pPr>
              <w:jc w:val="right"/>
              <w:ind w:right="60"/>
              <w:spacing w:after="0"/>
              <w:rPr>
                <w:sz w:val="20"/>
                <w:szCs w:val="20"/>
                <w:color w:val="auto"/>
              </w:rPr>
            </w:pPr>
            <w:r>
              <w:rPr>
                <w:rFonts w:ascii="Arial" w:cs="Arial" w:eastAsia="Arial" w:hAnsi="Arial"/>
                <w:sz w:val="14"/>
                <w:szCs w:val="14"/>
                <w:color w:val="auto"/>
              </w:rPr>
              <w:t>(182,828)</w:t>
            </w: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Payment of finance lease obligations</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Change in gross advance payments received from third-party transaction processor</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100" w:type="dxa"/>
            <w:vAlign w:val="bottom"/>
            <w:gridSpan w:val="2"/>
            <w:shd w:val="clear" w:color="auto" w:fill="EEF2F7"/>
          </w:tcPr>
          <w:p>
            <w:pPr>
              <w:jc w:val="right"/>
              <w:ind w:right="60"/>
              <w:spacing w:after="0"/>
              <w:rPr>
                <w:sz w:val="20"/>
                <w:szCs w:val="20"/>
                <w:color w:val="auto"/>
              </w:rPr>
            </w:pPr>
            <w:r>
              <w:rPr>
                <w:rFonts w:ascii="Arial" w:cs="Arial" w:eastAsia="Arial" w:hAnsi="Arial"/>
                <w:sz w:val="14"/>
                <w:szCs w:val="14"/>
                <w:color w:val="auto"/>
              </w:rPr>
              <w:t>(38)</w:t>
            </w:r>
          </w:p>
        </w:tc>
      </w:tr>
      <w:tr>
        <w:trPr>
          <w:trHeight w:val="20"/>
        </w:trPr>
        <w:tc>
          <w:tcPr>
            <w:tcW w:w="6820" w:type="dxa"/>
            <w:vAlign w:val="bottom"/>
            <w:shd w:val="clear" w:color="auto" w:fill="EEF2F7"/>
          </w:tcPr>
          <w:p>
            <w:pPr>
              <w:spacing w:after="0" w:line="20" w:lineRule="exact"/>
              <w:rPr>
                <w:sz w:val="1"/>
                <w:szCs w:val="1"/>
                <w:color w:val="auto"/>
              </w:rPr>
            </w:pPr>
          </w:p>
        </w:tc>
        <w:tc>
          <w:tcPr>
            <w:tcW w:w="900" w:type="dxa"/>
            <w:vAlign w:val="bottom"/>
            <w:shd w:val="clear" w:color="auto" w:fill="EEF2F7"/>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EF2F7"/>
          </w:tcPr>
          <w:p>
            <w:pPr>
              <w:spacing w:after="0" w:line="20" w:lineRule="exact"/>
              <w:rPr>
                <w:sz w:val="1"/>
                <w:szCs w:val="1"/>
                <w:color w:val="auto"/>
              </w:rPr>
            </w:pPr>
          </w:p>
        </w:tc>
        <w:tc>
          <w:tcPr>
            <w:tcW w:w="120" w:type="dxa"/>
            <w:vAlign w:val="bottom"/>
            <w:shd w:val="clear" w:color="auto" w:fill="EEF2F7"/>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EF2F7"/>
          </w:tcPr>
          <w:p>
            <w:pPr>
              <w:spacing w:after="0" w:line="20" w:lineRule="exact"/>
              <w:rPr>
                <w:sz w:val="1"/>
                <w:szCs w:val="1"/>
                <w:color w:val="auto"/>
              </w:rPr>
            </w:pPr>
          </w:p>
        </w:tc>
      </w:tr>
      <w:tr>
        <w:trPr>
          <w:trHeight w:val="155"/>
        </w:trPr>
        <w:tc>
          <w:tcPr>
            <w:tcW w:w="6820" w:type="dxa"/>
            <w:vAlign w:val="bottom"/>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(181,013)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(191,477)</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820" w:type="dxa"/>
            <w:vAlign w:val="bottom"/>
            <w:shd w:val="clear" w:color="auto" w:fill="EEF2F7"/>
          </w:tcPr>
          <w:p>
            <w:pPr>
              <w:spacing w:after="0" w:line="155" w:lineRule="exact"/>
              <w:rPr>
                <w:sz w:val="20"/>
                <w:szCs w:val="20"/>
                <w:color w:val="auto"/>
              </w:rPr>
            </w:pPr>
            <w:r>
              <w:rPr>
                <w:rFonts w:ascii="Arial" w:cs="Arial" w:eastAsia="Arial" w:hAnsi="Arial"/>
                <w:sz w:val="14"/>
                <w:szCs w:val="14"/>
                <w:color w:val="auto"/>
              </w:rPr>
              <w:t>Impact of foreign currency on cash, cash equivalents, and restricted cash</w:t>
            </w:r>
          </w:p>
        </w:tc>
        <w:tc>
          <w:tcPr>
            <w:tcW w:w="900" w:type="dxa"/>
            <w:vAlign w:val="bottom"/>
            <w:shd w:val="clear" w:color="auto" w:fill="EEF2F7"/>
          </w:tcPr>
          <w:p>
            <w:pPr>
              <w:spacing w:after="0"/>
              <w:rPr>
                <w:sz w:val="13"/>
                <w:szCs w:val="13"/>
                <w:color w:val="auto"/>
              </w:rPr>
            </w:pPr>
          </w:p>
        </w:tc>
        <w:tc>
          <w:tcPr>
            <w:tcW w:w="940" w:type="dxa"/>
            <w:vAlign w:val="bottom"/>
            <w:shd w:val="clear" w:color="auto" w:fill="EEF2F7"/>
          </w:tcPr>
          <w:p>
            <w:pPr>
              <w:spacing w:after="0"/>
              <w:rPr>
                <w:sz w:val="13"/>
                <w:szCs w:val="13"/>
                <w:color w:val="auto"/>
              </w:rPr>
            </w:pPr>
          </w:p>
        </w:tc>
        <w:tc>
          <w:tcPr>
            <w:tcW w:w="800" w:type="dxa"/>
            <w:vAlign w:val="bottom"/>
            <w:gridSpan w:val="2"/>
            <w:shd w:val="clear" w:color="auto" w:fill="EEF2F7"/>
          </w:tcPr>
          <w:p>
            <w:pPr>
              <w:jc w:val="right"/>
              <w:ind w:right="120"/>
              <w:spacing w:after="0" w:line="155" w:lineRule="exact"/>
              <w:rPr>
                <w:sz w:val="20"/>
                <w:szCs w:val="20"/>
                <w:color w:val="auto"/>
              </w:rPr>
            </w:pPr>
            <w:r>
              <w:rPr>
                <w:rFonts w:ascii="Arial" w:cs="Arial" w:eastAsia="Arial" w:hAnsi="Arial"/>
                <w:sz w:val="14"/>
                <w:szCs w:val="14"/>
                <w:color w:val="auto"/>
              </w:rPr>
              <w:t>(613)</w:t>
            </w:r>
          </w:p>
        </w:tc>
        <w:tc>
          <w:tcPr>
            <w:tcW w:w="120" w:type="dxa"/>
            <w:vAlign w:val="bottom"/>
            <w:shd w:val="clear" w:color="auto" w:fill="EEF2F7"/>
          </w:tcPr>
          <w:p>
            <w:pPr>
              <w:spacing w:after="0"/>
              <w:rPr>
                <w:sz w:val="13"/>
                <w:szCs w:val="13"/>
                <w:color w:val="auto"/>
              </w:rPr>
            </w:pPr>
          </w:p>
        </w:tc>
        <w:tc>
          <w:tcPr>
            <w:tcW w:w="560" w:type="dxa"/>
            <w:vAlign w:val="bottom"/>
            <w:shd w:val="clear" w:color="auto" w:fill="EEF2F7"/>
          </w:tcPr>
          <w:p>
            <w:pPr>
              <w:spacing w:after="0"/>
              <w:rPr>
                <w:sz w:val="13"/>
                <w:szCs w:val="13"/>
                <w:color w:val="auto"/>
              </w:rPr>
            </w:pPr>
          </w:p>
        </w:tc>
        <w:tc>
          <w:tcPr>
            <w:tcW w:w="1000" w:type="dxa"/>
            <w:vAlign w:val="bottom"/>
            <w:shd w:val="clear" w:color="auto" w:fill="EEF2F7"/>
          </w:tcPr>
          <w:p>
            <w:pPr>
              <w:jc w:val="right"/>
              <w:spacing w:after="0" w:line="155" w:lineRule="exact"/>
              <w:rPr>
                <w:sz w:val="20"/>
                <w:szCs w:val="20"/>
                <w:color w:val="auto"/>
              </w:rPr>
            </w:pPr>
            <w:r>
              <w:rPr>
                <w:rFonts w:ascii="Arial" w:cs="Arial" w:eastAsia="Arial" w:hAnsi="Arial"/>
                <w:sz w:val="14"/>
                <w:szCs w:val="14"/>
                <w:color w:val="auto"/>
              </w:rPr>
              <w:t>710</w:t>
            </w:r>
          </w:p>
        </w:tc>
        <w:tc>
          <w:tcPr>
            <w:tcW w:w="100" w:type="dxa"/>
            <w:vAlign w:val="bottom"/>
            <w:shd w:val="clear" w:color="auto" w:fill="EEF2F7"/>
          </w:tcPr>
          <w:p>
            <w:pPr>
              <w:spacing w:after="0"/>
              <w:rPr>
                <w:sz w:val="13"/>
                <w:szCs w:val="13"/>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Net decrease in cash, cash equivalents, and restricted cash</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(118,469)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(130,519)</w:t>
            </w:r>
          </w:p>
        </w:tc>
      </w:tr>
      <w:tr>
        <w:trPr>
          <w:trHeight w:val="162"/>
        </w:trPr>
        <w:tc>
          <w:tcPr>
            <w:tcW w:w="6820" w:type="dxa"/>
            <w:vAlign w:val="bottom"/>
            <w:tcBorders>
              <w:bottom w:val="single" w:sz="8" w:color="EEF2F7"/>
            </w:tcBorders>
            <w:shd w:val="clear" w:color="auto" w:fill="EEF2F7"/>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900" w:type="dxa"/>
            <w:vAlign w:val="bottom"/>
            <w:tcBorders>
              <w:bottom w:val="single" w:sz="8" w:color="EEF2F7"/>
            </w:tcBorders>
            <w:shd w:val="clear" w:color="auto" w:fill="EEF2F7"/>
          </w:tcPr>
          <w:p>
            <w:pPr>
              <w:spacing w:after="0"/>
              <w:rPr>
                <w:sz w:val="14"/>
                <w:szCs w:val="14"/>
                <w:color w:val="auto"/>
              </w:rPr>
            </w:pPr>
          </w:p>
        </w:tc>
        <w:tc>
          <w:tcPr>
            <w:tcW w:w="940" w:type="dxa"/>
            <w:vAlign w:val="bottom"/>
            <w:tcBorders>
              <w:bottom w:val="single" w:sz="8" w:color="auto"/>
            </w:tcBorders>
            <w:shd w:val="clear" w:color="auto" w:fill="EEF2F7"/>
          </w:tcPr>
          <w:p>
            <w:pPr>
              <w:spacing w:after="0"/>
              <w:rPr>
                <w:sz w:val="14"/>
                <w:szCs w:val="14"/>
                <w:color w:val="auto"/>
              </w:rPr>
            </w:pPr>
          </w:p>
        </w:tc>
        <w:tc>
          <w:tcPr>
            <w:tcW w:w="620" w:type="dxa"/>
            <w:vAlign w:val="bottom"/>
            <w:tcBorders>
              <w:bottom w:val="single" w:sz="8" w:color="auto"/>
            </w:tcBorders>
            <w:shd w:val="clear" w:color="auto" w:fill="EEF2F7"/>
          </w:tcPr>
          <w:p>
            <w:pPr>
              <w:jc w:val="right"/>
              <w:spacing w:after="0"/>
              <w:rPr>
                <w:sz w:val="20"/>
                <w:szCs w:val="20"/>
                <w:color w:val="auto"/>
              </w:rPr>
            </w:pPr>
            <w:r>
              <w:rPr>
                <w:rFonts w:ascii="Arial" w:cs="Arial" w:eastAsia="Arial" w:hAnsi="Arial"/>
                <w:sz w:val="14"/>
                <w:szCs w:val="14"/>
                <w:color w:val="auto"/>
              </w:rPr>
              <w:t>190,518</w:t>
            </w:r>
          </w:p>
        </w:tc>
        <w:tc>
          <w:tcPr>
            <w:tcW w:w="180" w:type="dxa"/>
            <w:vAlign w:val="bottom"/>
            <w:tcBorders>
              <w:bottom w:val="single" w:sz="8" w:color="EEF2F7"/>
            </w:tcBorders>
            <w:shd w:val="clear" w:color="auto" w:fill="EEF2F7"/>
          </w:tcPr>
          <w:p>
            <w:pPr>
              <w:spacing w:after="0"/>
              <w:rPr>
                <w:sz w:val="14"/>
                <w:szCs w:val="14"/>
                <w:color w:val="auto"/>
              </w:rPr>
            </w:pPr>
          </w:p>
        </w:tc>
        <w:tc>
          <w:tcPr>
            <w:tcW w:w="120" w:type="dxa"/>
            <w:vAlign w:val="bottom"/>
            <w:tcBorders>
              <w:bottom w:val="single" w:sz="8" w:color="EEF2F7"/>
            </w:tcBorders>
            <w:shd w:val="clear" w:color="auto" w:fill="EEF2F7"/>
          </w:tcPr>
          <w:p>
            <w:pPr>
              <w:spacing w:after="0"/>
              <w:rPr>
                <w:sz w:val="14"/>
                <w:szCs w:val="14"/>
                <w:color w:val="auto"/>
              </w:rPr>
            </w:pPr>
          </w:p>
        </w:tc>
        <w:tc>
          <w:tcPr>
            <w:tcW w:w="560" w:type="dxa"/>
            <w:vAlign w:val="bottom"/>
            <w:tcBorders>
              <w:bottom w:val="single" w:sz="8" w:color="auto"/>
            </w:tcBorders>
            <w:shd w:val="clear" w:color="auto" w:fill="EEF2F7"/>
          </w:tcPr>
          <w:p>
            <w:pPr>
              <w:spacing w:after="0"/>
              <w:rPr>
                <w:sz w:val="14"/>
                <w:szCs w:val="14"/>
                <w:color w:val="auto"/>
              </w:rPr>
            </w:pPr>
          </w:p>
        </w:tc>
        <w:tc>
          <w:tcPr>
            <w:tcW w:w="1000" w:type="dxa"/>
            <w:vAlign w:val="bottom"/>
            <w:tcBorders>
              <w:bottom w:val="single" w:sz="8" w:color="auto"/>
            </w:tcBorders>
            <w:shd w:val="clear" w:color="auto" w:fill="EEF2F7"/>
          </w:tcPr>
          <w:p>
            <w:pPr>
              <w:jc w:val="right"/>
              <w:spacing w:after="0"/>
              <w:rPr>
                <w:sz w:val="20"/>
                <w:szCs w:val="20"/>
                <w:color w:val="auto"/>
              </w:rPr>
            </w:pPr>
            <w:r>
              <w:rPr>
                <w:rFonts w:ascii="Arial" w:cs="Arial" w:eastAsia="Arial" w:hAnsi="Arial"/>
                <w:sz w:val="14"/>
                <w:szCs w:val="14"/>
                <w:color w:val="auto"/>
              </w:rPr>
              <w:t>306,229</w:t>
            </w:r>
          </w:p>
        </w:tc>
        <w:tc>
          <w:tcPr>
            <w:tcW w:w="100" w:type="dxa"/>
            <w:vAlign w:val="bottom"/>
            <w:tcBorders>
              <w:bottom w:val="single" w:sz="8" w:color="EEF2F7"/>
            </w:tcBorders>
            <w:shd w:val="clear" w:color="auto" w:fill="EEF2F7"/>
          </w:tcPr>
          <w:p>
            <w:pPr>
              <w:spacing w:after="0"/>
              <w:rPr>
                <w:sz w:val="14"/>
                <w:szCs w:val="14"/>
                <w:color w:val="auto"/>
              </w:rPr>
            </w:pPr>
          </w:p>
        </w:tc>
      </w:tr>
      <w:tr>
        <w:trPr>
          <w:trHeight w:val="155"/>
        </w:trPr>
        <w:tc>
          <w:tcPr>
            <w:tcW w:w="6820" w:type="dxa"/>
            <w:vAlign w:val="bottom"/>
          </w:tcPr>
          <w:p>
            <w:pPr>
              <w:spacing w:after="0" w:line="155" w:lineRule="exact"/>
              <w:rPr>
                <w:sz w:val="20"/>
                <w:szCs w:val="20"/>
                <w:color w:val="auto"/>
              </w:rPr>
            </w:pPr>
            <w:r>
              <w:rPr>
                <w:rFonts w:ascii="Arial" w:cs="Arial" w:eastAsia="Arial" w:hAnsi="Arial"/>
                <w:sz w:val="14"/>
                <w:szCs w:val="14"/>
                <w:color w:val="auto"/>
              </w:rPr>
              <w:t>Cash, cash equivalents, and restricted cash at end of period</w:t>
            </w:r>
          </w:p>
        </w:tc>
        <w:tc>
          <w:tcPr>
            <w:tcW w:w="1840" w:type="dxa"/>
            <w:vAlign w:val="bottom"/>
            <w:gridSpan w:val="2"/>
          </w:tcPr>
          <w:p>
            <w:pPr>
              <w:jc w:val="right"/>
              <w:ind w:right="788"/>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72,049</w:t>
            </w:r>
          </w:p>
        </w:tc>
        <w:tc>
          <w:tcPr>
            <w:tcW w:w="180" w:type="dxa"/>
            <w:vAlign w:val="bottom"/>
          </w:tcPr>
          <w:p>
            <w:pPr>
              <w:spacing w:after="0"/>
              <w:rPr>
                <w:sz w:val="13"/>
                <w:szCs w:val="13"/>
                <w:color w:val="auto"/>
              </w:rPr>
            </w:pPr>
          </w:p>
        </w:tc>
        <w:tc>
          <w:tcPr>
            <w:tcW w:w="6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175,710</w:t>
            </w:r>
          </w:p>
        </w:tc>
        <w:tc>
          <w:tcPr>
            <w:tcW w:w="100" w:type="dxa"/>
            <w:vAlign w:val="bottom"/>
          </w:tcPr>
          <w:p>
            <w:pPr>
              <w:spacing w:after="0"/>
              <w:rPr>
                <w:sz w:val="13"/>
                <w:szCs w:val="13"/>
                <w:color w:val="auto"/>
              </w:rPr>
            </w:pP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820" w:type="dxa"/>
            <w:vAlign w:val="bottom"/>
            <w:shd w:val="clear" w:color="auto" w:fill="EEF2F7"/>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900" w:type="dxa"/>
            <w:vAlign w:val="bottom"/>
            <w:shd w:val="clear" w:color="auto" w:fill="EEF2F7"/>
          </w:tcPr>
          <w:p>
            <w:pPr>
              <w:spacing w:after="0"/>
              <w:rPr>
                <w:sz w:val="12"/>
                <w:szCs w:val="12"/>
                <w:color w:val="auto"/>
              </w:rPr>
            </w:pPr>
          </w:p>
        </w:tc>
        <w:tc>
          <w:tcPr>
            <w:tcW w:w="940" w:type="dxa"/>
            <w:vAlign w:val="bottom"/>
            <w:shd w:val="clear" w:color="auto" w:fill="EEF2F7"/>
          </w:tcPr>
          <w:p>
            <w:pPr>
              <w:spacing w:after="0"/>
              <w:rPr>
                <w:sz w:val="12"/>
                <w:szCs w:val="12"/>
                <w:color w:val="auto"/>
              </w:rPr>
            </w:pPr>
          </w:p>
        </w:tc>
        <w:tc>
          <w:tcPr>
            <w:tcW w:w="620" w:type="dxa"/>
            <w:vAlign w:val="bottom"/>
            <w:shd w:val="clear" w:color="auto" w:fill="EEF2F7"/>
          </w:tcPr>
          <w:p>
            <w:pPr>
              <w:spacing w:after="0"/>
              <w:rPr>
                <w:sz w:val="12"/>
                <w:szCs w:val="12"/>
                <w:color w:val="auto"/>
              </w:rPr>
            </w:pPr>
          </w:p>
        </w:tc>
        <w:tc>
          <w:tcPr>
            <w:tcW w:w="180" w:type="dxa"/>
            <w:vAlign w:val="bottom"/>
            <w:shd w:val="clear" w:color="auto" w:fill="EEF2F7"/>
          </w:tcPr>
          <w:p>
            <w:pPr>
              <w:spacing w:after="0"/>
              <w:rPr>
                <w:sz w:val="12"/>
                <w:szCs w:val="12"/>
                <w:color w:val="auto"/>
              </w:rPr>
            </w:pPr>
          </w:p>
        </w:tc>
        <w:tc>
          <w:tcPr>
            <w:tcW w:w="120" w:type="dxa"/>
            <w:vAlign w:val="bottom"/>
            <w:shd w:val="clear" w:color="auto" w:fill="EEF2F7"/>
          </w:tcPr>
          <w:p>
            <w:pPr>
              <w:spacing w:after="0"/>
              <w:rPr>
                <w:sz w:val="12"/>
                <w:szCs w:val="12"/>
                <w:color w:val="auto"/>
              </w:rPr>
            </w:pPr>
          </w:p>
        </w:tc>
        <w:tc>
          <w:tcPr>
            <w:tcW w:w="560" w:type="dxa"/>
            <w:vAlign w:val="bottom"/>
            <w:shd w:val="clear" w:color="auto" w:fill="EEF2F7"/>
          </w:tcPr>
          <w:p>
            <w:pPr>
              <w:spacing w:after="0"/>
              <w:rPr>
                <w:sz w:val="12"/>
                <w:szCs w:val="12"/>
                <w:color w:val="auto"/>
              </w:rPr>
            </w:pPr>
          </w:p>
        </w:tc>
        <w:tc>
          <w:tcPr>
            <w:tcW w:w="1000" w:type="dxa"/>
            <w:vAlign w:val="bottom"/>
            <w:shd w:val="clear" w:color="auto" w:fill="EEF2F7"/>
          </w:tcPr>
          <w:p>
            <w:pPr>
              <w:spacing w:after="0"/>
              <w:rPr>
                <w:sz w:val="12"/>
                <w:szCs w:val="12"/>
                <w:color w:val="auto"/>
              </w:rPr>
            </w:pPr>
          </w:p>
        </w:tc>
        <w:tc>
          <w:tcPr>
            <w:tcW w:w="100" w:type="dxa"/>
            <w:vAlign w:val="bottom"/>
            <w:shd w:val="clear" w:color="auto" w:fill="EEF2F7"/>
          </w:tcPr>
          <w:p>
            <w:pPr>
              <w:spacing w:after="0"/>
              <w:rPr>
                <w:sz w:val="12"/>
                <w:szCs w:val="12"/>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(Refunds) or cash paid for income taxes, net</w:t>
            </w:r>
          </w:p>
        </w:tc>
        <w:tc>
          <w:tcPr>
            <w:tcW w:w="184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(5,510)</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Cash paid for operating lease liabilities</w:t>
            </w:r>
          </w:p>
        </w:tc>
        <w:tc>
          <w:tcPr>
            <w:tcW w:w="1840" w:type="dxa"/>
            <w:vAlign w:val="bottom"/>
            <w:gridSpan w:val="2"/>
            <w:shd w:val="clear" w:color="auto" w:fill="EEF2F7"/>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5,769</w:t>
            </w:r>
          </w:p>
        </w:tc>
        <w:tc>
          <w:tcPr>
            <w:tcW w:w="180" w:type="dxa"/>
            <w:vAlign w:val="bottom"/>
            <w:shd w:val="clear" w:color="auto" w:fill="EEF2F7"/>
          </w:tcPr>
          <w:p>
            <w:pPr>
              <w:spacing w:after="0"/>
              <w:rPr>
                <w:sz w:val="14"/>
                <w:szCs w:val="14"/>
                <w:color w:val="auto"/>
              </w:rPr>
            </w:pPr>
          </w:p>
        </w:tc>
        <w:tc>
          <w:tcPr>
            <w:tcW w:w="680" w:type="dxa"/>
            <w:vAlign w:val="bottom"/>
            <w:gridSpan w:val="2"/>
            <w:shd w:val="clear" w:color="auto" w:fill="EEF2F7"/>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84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283</w:t>
            </w:r>
          </w:p>
        </w:tc>
        <w:tc>
          <w:tcPr>
            <w:tcW w:w="180" w:type="dxa"/>
            <w:vAlign w:val="bottom"/>
          </w:tcPr>
          <w:p>
            <w:pPr>
              <w:spacing w:after="0"/>
              <w:rPr>
                <w:sz w:val="14"/>
                <w:szCs w:val="14"/>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b w:val="1"/>
                <w:bCs w:val="1"/>
                <w:color w:val="auto"/>
              </w:rPr>
              <w:t>Supplemental noncash disclosure of cash flow information</w:t>
            </w:r>
          </w:p>
        </w:tc>
        <w:tc>
          <w:tcPr>
            <w:tcW w:w="900" w:type="dxa"/>
            <w:vAlign w:val="bottom"/>
            <w:shd w:val="clear" w:color="auto" w:fill="EEF2F7"/>
          </w:tcPr>
          <w:p>
            <w:pPr>
              <w:spacing w:after="0"/>
              <w:rPr>
                <w:sz w:val="14"/>
                <w:szCs w:val="14"/>
                <w:color w:val="auto"/>
              </w:rPr>
            </w:pPr>
          </w:p>
        </w:tc>
        <w:tc>
          <w:tcPr>
            <w:tcW w:w="940" w:type="dxa"/>
            <w:vAlign w:val="bottom"/>
            <w:shd w:val="clear" w:color="auto" w:fill="EEF2F7"/>
          </w:tcPr>
          <w:p>
            <w:pPr>
              <w:spacing w:after="0"/>
              <w:rPr>
                <w:sz w:val="14"/>
                <w:szCs w:val="14"/>
                <w:color w:val="auto"/>
              </w:rPr>
            </w:pPr>
          </w:p>
        </w:tc>
        <w:tc>
          <w:tcPr>
            <w:tcW w:w="620" w:type="dxa"/>
            <w:vAlign w:val="bottom"/>
            <w:shd w:val="clear" w:color="auto" w:fill="EEF2F7"/>
          </w:tcPr>
          <w:p>
            <w:pPr>
              <w:spacing w:after="0"/>
              <w:rPr>
                <w:sz w:val="14"/>
                <w:szCs w:val="14"/>
                <w:color w:val="auto"/>
              </w:rPr>
            </w:pPr>
          </w:p>
        </w:tc>
        <w:tc>
          <w:tcPr>
            <w:tcW w:w="180" w:type="dxa"/>
            <w:vAlign w:val="bottom"/>
            <w:shd w:val="clear" w:color="auto" w:fill="EEF2F7"/>
          </w:tcPr>
          <w:p>
            <w:pPr>
              <w:spacing w:after="0"/>
              <w:rPr>
                <w:sz w:val="14"/>
                <w:szCs w:val="14"/>
                <w:color w:val="auto"/>
              </w:rPr>
            </w:pPr>
          </w:p>
        </w:tc>
        <w:tc>
          <w:tcPr>
            <w:tcW w:w="120" w:type="dxa"/>
            <w:vAlign w:val="bottom"/>
            <w:shd w:val="clear" w:color="auto" w:fill="EEF2F7"/>
          </w:tcPr>
          <w:p>
            <w:pPr>
              <w:spacing w:after="0"/>
              <w:rPr>
                <w:sz w:val="14"/>
                <w:szCs w:val="14"/>
                <w:color w:val="auto"/>
              </w:rPr>
            </w:pPr>
          </w:p>
        </w:tc>
        <w:tc>
          <w:tcPr>
            <w:tcW w:w="560" w:type="dxa"/>
            <w:vAlign w:val="bottom"/>
            <w:shd w:val="clear" w:color="auto" w:fill="EEF2F7"/>
          </w:tcPr>
          <w:p>
            <w:pPr>
              <w:spacing w:after="0"/>
              <w:rPr>
                <w:sz w:val="14"/>
                <w:szCs w:val="14"/>
                <w:color w:val="auto"/>
              </w:rPr>
            </w:pPr>
          </w:p>
        </w:tc>
        <w:tc>
          <w:tcPr>
            <w:tcW w:w="1000" w:type="dxa"/>
            <w:vAlign w:val="bottom"/>
            <w:shd w:val="clear" w:color="auto" w:fill="EEF2F7"/>
          </w:tcPr>
          <w:p>
            <w:pPr>
              <w:spacing w:after="0"/>
              <w:rPr>
                <w:sz w:val="14"/>
                <w:szCs w:val="14"/>
                <w:color w:val="auto"/>
              </w:rPr>
            </w:pP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Unpaid purchases of property and equipment and capitalized hosting arrangements</w:t>
            </w:r>
          </w:p>
        </w:tc>
        <w:tc>
          <w:tcPr>
            <w:tcW w:w="184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1,018</w:t>
            </w:r>
          </w:p>
        </w:tc>
        <w:tc>
          <w:tcPr>
            <w:tcW w:w="180" w:type="dxa"/>
            <w:vAlign w:val="bottom"/>
          </w:tcPr>
          <w:p>
            <w:pPr>
              <w:spacing w:after="0"/>
              <w:rPr>
                <w:sz w:val="14"/>
                <w:szCs w:val="14"/>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4"/>
                <w:szCs w:val="14"/>
                <w:color w:val="auto"/>
              </w:rPr>
            </w:pPr>
          </w:p>
        </w:tc>
      </w:tr>
      <w:tr>
        <w:trPr>
          <w:trHeight w:val="153"/>
        </w:trPr>
        <w:tc>
          <w:tcPr>
            <w:tcW w:w="6820" w:type="dxa"/>
            <w:vAlign w:val="bottom"/>
            <w:shd w:val="clear" w:color="auto" w:fill="EEF2F7"/>
          </w:tcPr>
          <w:p>
            <w:pPr>
              <w:spacing w:after="0" w:line="153" w:lineRule="exact"/>
              <w:rPr>
                <w:sz w:val="20"/>
                <w:szCs w:val="20"/>
                <w:color w:val="auto"/>
              </w:rPr>
            </w:pPr>
            <w:r>
              <w:rPr>
                <w:rFonts w:ascii="Arial" w:cs="Arial" w:eastAsia="Arial" w:hAnsi="Arial"/>
                <w:sz w:val="14"/>
                <w:szCs w:val="14"/>
                <w:color w:val="auto"/>
              </w:rPr>
              <w:t>Capitalized stock-based compensation expense in website development and</w:t>
            </w:r>
          </w:p>
        </w:tc>
        <w:tc>
          <w:tcPr>
            <w:tcW w:w="900" w:type="dxa"/>
            <w:vAlign w:val="bottom"/>
            <w:shd w:val="clear" w:color="auto" w:fill="EEF2F7"/>
          </w:tcPr>
          <w:p>
            <w:pPr>
              <w:spacing w:after="0"/>
              <w:rPr>
                <w:sz w:val="13"/>
                <w:szCs w:val="13"/>
                <w:color w:val="auto"/>
              </w:rPr>
            </w:pPr>
          </w:p>
        </w:tc>
        <w:tc>
          <w:tcPr>
            <w:tcW w:w="940" w:type="dxa"/>
            <w:vAlign w:val="bottom"/>
            <w:shd w:val="clear" w:color="auto" w:fill="EEF2F7"/>
          </w:tcPr>
          <w:p>
            <w:pPr>
              <w:spacing w:after="0"/>
              <w:rPr>
                <w:sz w:val="13"/>
                <w:szCs w:val="13"/>
                <w:color w:val="auto"/>
              </w:rPr>
            </w:pPr>
          </w:p>
        </w:tc>
        <w:tc>
          <w:tcPr>
            <w:tcW w:w="620" w:type="dxa"/>
            <w:vAlign w:val="bottom"/>
            <w:shd w:val="clear" w:color="auto" w:fill="EEF2F7"/>
          </w:tcPr>
          <w:p>
            <w:pPr>
              <w:spacing w:after="0"/>
              <w:rPr>
                <w:sz w:val="13"/>
                <w:szCs w:val="13"/>
                <w:color w:val="auto"/>
              </w:rPr>
            </w:pPr>
          </w:p>
        </w:tc>
        <w:tc>
          <w:tcPr>
            <w:tcW w:w="180" w:type="dxa"/>
            <w:vAlign w:val="bottom"/>
            <w:shd w:val="clear" w:color="auto" w:fill="EEF2F7"/>
          </w:tcPr>
          <w:p>
            <w:pPr>
              <w:spacing w:after="0"/>
              <w:rPr>
                <w:sz w:val="13"/>
                <w:szCs w:val="13"/>
                <w:color w:val="auto"/>
              </w:rPr>
            </w:pPr>
          </w:p>
        </w:tc>
        <w:tc>
          <w:tcPr>
            <w:tcW w:w="120" w:type="dxa"/>
            <w:vAlign w:val="bottom"/>
            <w:shd w:val="clear" w:color="auto" w:fill="EEF2F7"/>
          </w:tcPr>
          <w:p>
            <w:pPr>
              <w:spacing w:after="0"/>
              <w:rPr>
                <w:sz w:val="13"/>
                <w:szCs w:val="13"/>
                <w:color w:val="auto"/>
              </w:rPr>
            </w:pPr>
          </w:p>
        </w:tc>
        <w:tc>
          <w:tcPr>
            <w:tcW w:w="560" w:type="dxa"/>
            <w:vAlign w:val="bottom"/>
            <w:shd w:val="clear" w:color="auto" w:fill="EEF2F7"/>
          </w:tcPr>
          <w:p>
            <w:pPr>
              <w:spacing w:after="0"/>
              <w:rPr>
                <w:sz w:val="13"/>
                <w:szCs w:val="13"/>
                <w:color w:val="auto"/>
              </w:rPr>
            </w:pPr>
          </w:p>
        </w:tc>
        <w:tc>
          <w:tcPr>
            <w:tcW w:w="1000" w:type="dxa"/>
            <w:vAlign w:val="bottom"/>
            <w:shd w:val="clear" w:color="auto" w:fill="EEF2F7"/>
          </w:tcPr>
          <w:p>
            <w:pPr>
              <w:spacing w:after="0"/>
              <w:rPr>
                <w:sz w:val="13"/>
                <w:szCs w:val="13"/>
                <w:color w:val="auto"/>
              </w:rPr>
            </w:pPr>
          </w:p>
        </w:tc>
        <w:tc>
          <w:tcPr>
            <w:tcW w:w="100" w:type="dxa"/>
            <w:vAlign w:val="bottom"/>
            <w:shd w:val="clear" w:color="auto" w:fill="EEF2F7"/>
          </w:tcPr>
          <w:p>
            <w:pPr>
              <w:spacing w:after="0"/>
              <w:rPr>
                <w:sz w:val="13"/>
                <w:szCs w:val="13"/>
                <w:color w:val="auto"/>
              </w:rPr>
            </w:pPr>
          </w:p>
        </w:tc>
      </w:tr>
      <w:tr>
        <w:trPr>
          <w:trHeight w:val="171"/>
        </w:trPr>
        <w:tc>
          <w:tcPr>
            <w:tcW w:w="6820" w:type="dxa"/>
            <w:vAlign w:val="bottom"/>
            <w:shd w:val="clear" w:color="auto" w:fill="EEF2F7"/>
          </w:tcPr>
          <w:p>
            <w:pPr>
              <w:ind w:left="120"/>
              <w:spacing w:after="0"/>
              <w:rPr>
                <w:sz w:val="20"/>
                <w:szCs w:val="20"/>
                <w:color w:val="auto"/>
              </w:rPr>
            </w:pPr>
            <w:r>
              <w:rPr>
                <w:rFonts w:ascii="Arial" w:cs="Arial" w:eastAsia="Arial" w:hAnsi="Arial"/>
                <w:sz w:val="14"/>
                <w:szCs w:val="14"/>
                <w:color w:val="auto"/>
              </w:rPr>
              <w:t>internal-use software costs and hosting arrangements</w:t>
            </w:r>
          </w:p>
        </w:tc>
        <w:tc>
          <w:tcPr>
            <w:tcW w:w="1840" w:type="dxa"/>
            <w:vAlign w:val="bottom"/>
            <w:gridSpan w:val="2"/>
            <w:shd w:val="clear" w:color="auto" w:fill="EEF2F7"/>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1,534</w:t>
            </w:r>
          </w:p>
        </w:tc>
        <w:tc>
          <w:tcPr>
            <w:tcW w:w="180" w:type="dxa"/>
            <w:vAlign w:val="bottom"/>
            <w:shd w:val="clear" w:color="auto" w:fill="EEF2F7"/>
          </w:tcPr>
          <w:p>
            <w:pPr>
              <w:spacing w:after="0"/>
              <w:rPr>
                <w:sz w:val="14"/>
                <w:szCs w:val="14"/>
                <w:color w:val="auto"/>
              </w:rPr>
            </w:pPr>
          </w:p>
        </w:tc>
        <w:tc>
          <w:tcPr>
            <w:tcW w:w="680" w:type="dxa"/>
            <w:vAlign w:val="bottom"/>
            <w:gridSpan w:val="2"/>
            <w:shd w:val="clear" w:color="auto" w:fill="EEF2F7"/>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EEF2F7"/>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Unpaid repurchases of common stock</w:t>
            </w:r>
          </w:p>
        </w:tc>
        <w:tc>
          <w:tcPr>
            <w:tcW w:w="184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614</w:t>
            </w:r>
          </w:p>
        </w:tc>
        <w:tc>
          <w:tcPr>
            <w:tcW w:w="180" w:type="dxa"/>
            <w:vAlign w:val="bottom"/>
          </w:tcPr>
          <w:p>
            <w:pPr>
              <w:spacing w:after="0"/>
              <w:rPr>
                <w:sz w:val="14"/>
                <w:szCs w:val="14"/>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4"/>
                <w:szCs w:val="14"/>
                <w:color w:val="auto"/>
              </w:rPr>
            </w:pPr>
          </w:p>
        </w:tc>
      </w:tr>
      <w:tr>
        <w:trPr>
          <w:trHeight w:val="162"/>
        </w:trPr>
        <w:tc>
          <w:tcPr>
            <w:tcW w:w="6820" w:type="dxa"/>
            <w:vAlign w:val="bottom"/>
            <w:shd w:val="clear" w:color="auto" w:fill="EEF2F7"/>
          </w:tcPr>
          <w:p>
            <w:pPr>
              <w:spacing w:after="0"/>
              <w:rPr>
                <w:sz w:val="20"/>
                <w:szCs w:val="20"/>
                <w:color w:val="auto"/>
              </w:rPr>
            </w:pPr>
            <w:r>
              <w:rPr>
                <w:rFonts w:ascii="Arial" w:cs="Arial" w:eastAsia="Arial" w:hAnsi="Arial"/>
                <w:sz w:val="14"/>
                <w:szCs w:val="14"/>
                <w:color w:val="auto"/>
              </w:rPr>
              <w:t>Unpaid excise tax on repurchases of common stock</w:t>
            </w:r>
          </w:p>
        </w:tc>
        <w:tc>
          <w:tcPr>
            <w:tcW w:w="1840" w:type="dxa"/>
            <w:vAlign w:val="bottom"/>
            <w:gridSpan w:val="2"/>
            <w:shd w:val="clear" w:color="auto" w:fill="EEF2F7"/>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shd w:val="clear" w:color="auto" w:fill="EEF2F7"/>
          </w:tcPr>
          <w:p>
            <w:pPr>
              <w:jc w:val="right"/>
              <w:spacing w:after="0"/>
              <w:rPr>
                <w:sz w:val="20"/>
                <w:szCs w:val="20"/>
                <w:color w:val="auto"/>
              </w:rPr>
            </w:pPr>
            <w:r>
              <w:rPr>
                <w:rFonts w:ascii="Arial" w:cs="Arial" w:eastAsia="Arial" w:hAnsi="Arial"/>
                <w:sz w:val="14"/>
                <w:szCs w:val="14"/>
                <w:color w:val="auto"/>
              </w:rPr>
              <w:t>4,215</w:t>
            </w:r>
          </w:p>
        </w:tc>
        <w:tc>
          <w:tcPr>
            <w:tcW w:w="180" w:type="dxa"/>
            <w:vAlign w:val="bottom"/>
            <w:shd w:val="clear" w:color="auto" w:fill="EEF2F7"/>
          </w:tcPr>
          <w:p>
            <w:pPr>
              <w:spacing w:after="0"/>
              <w:rPr>
                <w:sz w:val="14"/>
                <w:szCs w:val="14"/>
                <w:color w:val="auto"/>
              </w:rPr>
            </w:pPr>
          </w:p>
        </w:tc>
        <w:tc>
          <w:tcPr>
            <w:tcW w:w="680" w:type="dxa"/>
            <w:vAlign w:val="bottom"/>
            <w:gridSpan w:val="2"/>
            <w:shd w:val="clear" w:color="auto" w:fill="EEF2F7"/>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EF2F7"/>
          </w:tcPr>
          <w:p>
            <w:pPr>
              <w:jc w:val="right"/>
              <w:spacing w:after="0"/>
              <w:rPr>
                <w:sz w:val="20"/>
                <w:szCs w:val="20"/>
                <w:color w:val="auto"/>
              </w:rPr>
            </w:pPr>
            <w:r>
              <w:rPr>
                <w:rFonts w:ascii="Arial" w:cs="Arial" w:eastAsia="Arial" w:hAnsi="Arial"/>
                <w:sz w:val="14"/>
                <w:szCs w:val="14"/>
                <w:color w:val="auto"/>
              </w:rPr>
              <w:t>2,268</w:t>
            </w:r>
          </w:p>
        </w:tc>
        <w:tc>
          <w:tcPr>
            <w:tcW w:w="100" w:type="dxa"/>
            <w:vAlign w:val="bottom"/>
            <w:shd w:val="clear" w:color="auto" w:fill="EEF2F7"/>
          </w:tcPr>
          <w:p>
            <w:pPr>
              <w:spacing w:after="0"/>
              <w:rPr>
                <w:sz w:val="14"/>
                <w:szCs w:val="14"/>
                <w:color w:val="auto"/>
              </w:rPr>
            </w:pPr>
          </w:p>
        </w:tc>
      </w:tr>
      <w:tr>
        <w:trPr>
          <w:trHeight w:val="190"/>
        </w:trPr>
        <w:tc>
          <w:tcPr>
            <w:tcW w:w="6820" w:type="dxa"/>
            <w:vAlign w:val="bottom"/>
          </w:tcPr>
          <w:p>
            <w:pPr>
              <w:spacing w:after="0"/>
              <w:rPr>
                <w:sz w:val="20"/>
                <w:szCs w:val="20"/>
                <w:color w:val="auto"/>
              </w:rPr>
            </w:pPr>
            <w:r>
              <w:rPr>
                <w:rFonts w:ascii="Arial" w:cs="Arial" w:eastAsia="Arial" w:hAnsi="Arial"/>
                <w:sz w:val="14"/>
                <w:szCs w:val="14"/>
                <w:color w:val="auto"/>
              </w:rPr>
              <w:t>Obtaining a right-of-use asset in exchange for an operating lease liability</w:t>
            </w:r>
          </w:p>
        </w:tc>
        <w:tc>
          <w:tcPr>
            <w:tcW w:w="184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-2769235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-2769235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-2340610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-2340610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-1714500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-1714500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-1285875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-1285875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00002D"/>
        </w:rPr>
        <w:t>The accompanying notes are an integral part of these Unaudited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002D"/>
        </w:rPr>
        <w:t>CarGurus, Inc.</w:t>
      </w: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00002D"/>
        </w:rPr>
        <w:t>Notes to Unaudited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1. Organization and Business Description</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00002D"/>
        </w:rPr>
        <w:t>CarGurus, Inc. (the “Company” or “CarGurus”) is a multinational automotive platform helping consumers and dealers confidently buy and sell vehicles. Founded in 2006 with a mission to bring more trust and transparency to car shopping, CarGurus is an automotive shopping site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00002D"/>
        </w:rPr>
        <w:t>the U.S. CarGurus</w:t>
      </w:r>
      <w:r>
        <w:rPr>
          <w:rFonts w:ascii="Arial" w:cs="Arial" w:eastAsia="Arial" w:hAnsi="Arial"/>
          <w:sz w:val="18"/>
          <w:szCs w:val="18"/>
          <w:color w:val="000000"/>
        </w:rPr>
        <w:t>’</w:t>
      </w:r>
      <w:r>
        <w:rPr>
          <w:rFonts w:ascii="Arial" w:cs="Arial" w:eastAsia="Arial" w:hAnsi="Arial"/>
          <w:sz w:val="18"/>
          <w:szCs w:val="18"/>
          <w:color w:val="00002D"/>
        </w:rPr>
        <w:t xml:space="preserve"> selection, trusted automotive insights, and data-driven products and solutions support each shopper</w:t>
      </w:r>
      <w:r>
        <w:rPr>
          <w:rFonts w:ascii="Arial" w:cs="Arial" w:eastAsia="Arial" w:hAnsi="Arial"/>
          <w:sz w:val="18"/>
          <w:szCs w:val="18"/>
          <w:color w:val="000000"/>
        </w:rPr>
        <w:t>’</w:t>
      </w:r>
      <w:r>
        <w:rPr>
          <w:rFonts w:ascii="Arial" w:cs="Arial" w:eastAsia="Arial" w:hAnsi="Arial"/>
          <w:sz w:val="18"/>
          <w:szCs w:val="18"/>
          <w:color w:val="00002D"/>
        </w:rPr>
        <w:t xml:space="preserve">s journey </w:t>
      </w:r>
      <w:r>
        <w:rPr>
          <w:rFonts w:ascii="Arial" w:cs="Arial" w:eastAsia="Arial" w:hAnsi="Arial"/>
          <w:sz w:val="21"/>
          <w:szCs w:val="21"/>
          <w:color w:val="00002D"/>
        </w:rPr>
        <w:t>–</w:t>
      </w:r>
      <w:r>
        <w:rPr>
          <w:rFonts w:ascii="Arial" w:cs="Arial" w:eastAsia="Arial" w:hAnsi="Arial"/>
          <w:sz w:val="18"/>
          <w:szCs w:val="18"/>
          <w:color w:val="00002D"/>
        </w:rPr>
        <w:t xml:space="preserve"> from</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00002D"/>
        </w:rPr>
        <w:t xml:space="preserve">online research and shopping to in-dealership decisions </w:t>
      </w:r>
      <w:r>
        <w:rPr>
          <w:rFonts w:ascii="Arial" w:cs="Arial" w:eastAsia="Arial" w:hAnsi="Arial"/>
          <w:sz w:val="21"/>
          <w:szCs w:val="21"/>
          <w:color w:val="00002D"/>
        </w:rPr>
        <w:t>–</w:t>
      </w:r>
      <w:r>
        <w:rPr>
          <w:rFonts w:ascii="Arial" w:cs="Arial" w:eastAsia="Arial" w:hAnsi="Arial"/>
          <w:sz w:val="18"/>
          <w:szCs w:val="18"/>
          <w:color w:val="00002D"/>
        </w:rPr>
        <w:t xml:space="preserve"> to empower them at every step. CarGurus provides dealers a personalized, predictive intelligence platform with software solutions that helps them run their businesses more efficiently and profitably at all stages of inventory acquisition and pricing, marketing, and conversion to sale</w:t>
      </w:r>
      <w:r>
        <w:rPr>
          <w:rFonts w:ascii="Arial" w:cs="Arial" w:eastAsia="Arial" w:hAnsi="Arial"/>
          <w:sz w:val="21"/>
          <w:szCs w:val="21"/>
          <w:color w:val="000000"/>
        </w:rPr>
        <w: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wind-down of CarOffer, LLC (</w:t>
      </w:r>
      <w:r>
        <w:rPr>
          <w:rFonts w:ascii="Arial" w:cs="Arial" w:eastAsia="Arial" w:hAnsi="Arial"/>
          <w:sz w:val="18"/>
          <w:szCs w:val="18"/>
          <w:color w:val="00002D"/>
        </w:rPr>
        <w:t>“</w:t>
      </w:r>
      <w:r>
        <w:rPr>
          <w:rFonts w:ascii="Arial" w:cs="Arial" w:eastAsia="Arial" w:hAnsi="Arial"/>
          <w:sz w:val="18"/>
          <w:szCs w:val="18"/>
          <w:color w:val="auto"/>
        </w:rPr>
        <w:t>CarOffer</w:t>
      </w:r>
      <w:r>
        <w:rPr>
          <w:rFonts w:ascii="Arial" w:cs="Arial" w:eastAsia="Arial" w:hAnsi="Arial"/>
          <w:sz w:val="18"/>
          <w:szCs w:val="18"/>
          <w:color w:val="00002D"/>
        </w:rPr>
        <w:t>”</w:t>
      </w:r>
      <w:r>
        <w:rPr>
          <w:rFonts w:ascii="Arial" w:cs="Arial" w:eastAsia="Arial" w:hAnsi="Arial"/>
          <w:sz w:val="18"/>
          <w:szCs w:val="18"/>
          <w:color w:val="auto"/>
        </w:rPr>
        <w:t>) was completed and the business was considered abandoned for accounting purposes as of December 31, 2025. For further information, refer to Note 3 of the Unaudited Condensed Consolidated Financial Statements (as defined below).</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Company operates principally in the U.S., where it also operates the Autolist online marketplace as an independent brand. The Company also operates online marketplaces under the CarGurus brand in Canada and the U.K. In the U.K. it also operates the PistonHeads online marketplace as an independent brand.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The Company has subsidiaries in the U.S., Canada, Ireland, and the U.K. Effective as of the fourth quarter of 2025 the Company revised its segment reporting from two reportable segments to one reportable segment, in connection with the wind-down of CarOffer and as a result of the Chief Operating Decision Maker (“CODM”) managing the business, making operating decisions, and evaluating operating performance on a consolidated basis. For further segment reporting and geographic information, refer to Note 13 of the Unaudited Condensed Consolidated Financial Statements.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litigation, and dependence on key individuals.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2. 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Basis of Presentation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statements for interim periods. These interim period results are not necessarily indicative of the results to be expected for any other interim period or the full year.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Unaudited Condensed Consolidated Financial Statements should be read in conjunction with the Company’s audited consolidated financial statements and the notes thereto included in the Company’s Annual Report on Form 10-K for the fiscal year ended December 31, 2025, filed with the SEC on February 19, 2026 (the “Annual Report”).</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presented the financial results of CarOffer as discontinued operations in the Unaudited Condensed Consolidated Financial Statements. No assets or liabilities were classified as discontinued operations as of March 31, 2026 or December 31, 2025. No results of operations were classified as discontinued operations for the three months ended March 31, 2026. The Unaudited Condensed Consolidated Income Statement for the three months ended March 31, 2025, was derived from the Unaudited Condensed Consolidated Income Statement of CarGurus, Inc. as of that date, adjusted for the reclassification of discontinued operations. The Unaudited Condensed Consolidated Statement of Comprehensive Income, Unaudited Condensed Consolidated Statement of Stockholders’ Equity, and the Unaudited Condensed Consolidated Statement of Cash Flows as of March 31, 2025, related to discontinued operations have not been separately reclassified and are included within each for the period referenced.</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Unless indicated otherwise, the information in these notes to the Unaudited Condensed Consolidated Financial Statements relates to the Company’s continuing operations and does not include the results of discontinued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discontinued operations, refer to Note 3 of the Unaudited Condensed Consolidated Financial Statements</w:t>
      </w:r>
      <w:r>
        <w:rPr>
          <w:rFonts w:ascii="Arial" w:cs="Arial" w:eastAsia="Arial" w:hAnsi="Arial"/>
          <w:sz w:val="18"/>
          <w:szCs w:val="18"/>
          <w:color w:val="00002D"/>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Principles of Consolidation</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The Unaudited Condensed Consolidated Financial Statements include the accounts of the Company and its subsidiaries. All intercompany balances and transactions have been eliminated in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Subsequent Event Considerations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The Company considers events or transactions that occur after the balance sheet date but prior to the issuance of the Unaudited Condensed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Use of Estimates</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00002D"/>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Critical estimates relied upon in preparing the Unaudited Condensed Consolidated Financial Statements include the determination of variable consideration in the Company’s revenue recognition and the capitalization and useful lives of product, technology, and development costs for website development, internal-use software, and hosting arrangements. Accordingly, the Company considers these to be its critical accounting estimates, and believes that of the Company’s significant accounting policies, these involve the greatest degree of judgment and complexity.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Concentration of Credit Risk</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trade accounts receivable, and other receivables.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The Company routinely assesses the creditworthiness of its customers and does not require collateral. The Company generally has not experienced any material losses related to receivables from individual customers or groups of customers.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Company had no material losses related to receivables as the losses were dispersed across a large number of customers. Due to this factor, no additional credit risk beyond amounts provided for collection losses was believed by management to be probable in the Company’s accounts receivable and other receivables.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 xml:space="preserve">As of March 31, 2026 and December 31, 2025, a payment processor for several hundred dealer accounts represented 10.5% and 10.8%, respectively, of net accounts receivable and other receivables. The related accounts receivable balance included unbilled and billed receivables. The concentration was driven by the timing of payments pursuant to the agreement with the payment processor. The remainder of the accounts receivable was dispersed among more than 1,000 customers. </w:t>
      </w:r>
      <w:r>
        <w:rPr>
          <w:rFonts w:ascii="Arial" w:cs="Arial" w:eastAsia="Arial" w:hAnsi="Arial"/>
          <w:sz w:val="18"/>
          <w:szCs w:val="18"/>
          <w:color w:val="000000"/>
        </w:rPr>
        <w:t>T</w:t>
      </w:r>
      <w:r>
        <w:rPr>
          <w:rFonts w:ascii="Arial" w:cs="Arial" w:eastAsia="Arial" w:hAnsi="Arial"/>
          <w:sz w:val="18"/>
          <w:szCs w:val="18"/>
          <w:color w:val="00002D"/>
        </w:rPr>
        <w:t>herefore, the Company does not believe there is significant credit risk with respect to accounts receivable.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002D"/>
        </w:rPr>
        <w:t>For the three months ended March 31, 2026 and 2025, no customer accounted for more than 10% of total revenue.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 xml:space="preserve">As of March 31, 2026 and December 31, 2025, $15.6 million and $16.8 million, respectively, was included in accounts receivable, net representing unbilled accounts receivable relating primarily to both dealers and advertising customers invoiced in the period subsequent to services being rendered and revenue recognition adjustments for Company offered discounts given to dealers in accordance with ASC Topic 606, </w:t>
      </w:r>
      <w:r>
        <w:rPr>
          <w:rFonts w:ascii="Arial" w:cs="Arial" w:eastAsia="Arial" w:hAnsi="Arial"/>
          <w:sz w:val="18"/>
          <w:szCs w:val="18"/>
          <w:i w:val="1"/>
          <w:iCs w:val="1"/>
          <w:color w:val="00002D"/>
        </w:rPr>
        <w:t>Revenue from Contracts with Customers</w:t>
      </w:r>
      <w:r>
        <w:rPr>
          <w:rFonts w:ascii="Arial" w:cs="Arial" w:eastAsia="Arial" w:hAnsi="Arial"/>
          <w:sz w:val="18"/>
          <w:szCs w:val="18"/>
          <w:color w:val="00002D"/>
        </w:rPr>
        <w:t xml:space="preserve"> (“ASC 606”).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Significant Accounting Policies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Unaudited Condensed Consolidated Financial Statements reflect the application of certain significant accounting policies as described below and elsewhere in these notes to the Unaudited Condensed Consolidated Financial Statements. As of March 31, 2026, there have been no material changes in the Company’s significant accounting policies, which are detailed in the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Recent Accounting Pronouncements Not Yet Adopted</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From time to time, new accounting pronouncements are issued by the FASB or other standard-setting bodies and adopted by the Company on or prior to the specified effective date. Unless otherwise disclosed below, the Company believes that the impact of recently issued standards that are not yet effective will not have a material impact on its financial position or results of operations upon adoption. As of March 31, 2026, there are no new accounting pronouncements that the Company is considering adopting, other than those described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 xml:space="preserve">In September 2025 the FASB issued ASU 2025-06, </w:t>
      </w:r>
      <w:r>
        <w:rPr>
          <w:rFonts w:ascii="Arial" w:cs="Arial" w:eastAsia="Arial" w:hAnsi="Arial"/>
          <w:sz w:val="18"/>
          <w:szCs w:val="18"/>
          <w:i w:val="1"/>
          <w:iCs w:val="1"/>
          <w:color w:val="00002D"/>
        </w:rPr>
        <w:t>Intangibles-Goodwill and Other-Internal-Use Software (Subtopic 350-40): Targeted</w:t>
      </w:r>
      <w:r>
        <w:rPr>
          <w:rFonts w:ascii="Arial" w:cs="Arial" w:eastAsia="Arial" w:hAnsi="Arial"/>
          <w:sz w:val="18"/>
          <w:szCs w:val="18"/>
          <w:color w:val="00002D"/>
        </w:rPr>
        <w:t xml:space="preserve"> </w:t>
      </w:r>
      <w:r>
        <w:rPr>
          <w:rFonts w:ascii="Arial" w:cs="Arial" w:eastAsia="Arial" w:hAnsi="Arial"/>
          <w:sz w:val="18"/>
          <w:szCs w:val="18"/>
          <w:i w:val="1"/>
          <w:iCs w:val="1"/>
          <w:color w:val="00002D"/>
        </w:rPr>
        <w:t xml:space="preserve">Improvements to the Accounting for Internal-Use Software </w:t>
      </w:r>
      <w:r>
        <w:rPr>
          <w:rFonts w:ascii="Arial" w:cs="Arial" w:eastAsia="Arial" w:hAnsi="Arial"/>
          <w:sz w:val="18"/>
          <w:szCs w:val="18"/>
          <w:color w:val="00002D"/>
        </w:rPr>
        <w:t>(“ASU 2025-06”), which clarifies and modernizes the guidance to reflect the</w:t>
      </w:r>
      <w:r>
        <w:rPr>
          <w:rFonts w:ascii="Arial" w:cs="Arial" w:eastAsia="Arial" w:hAnsi="Arial"/>
          <w:sz w:val="18"/>
          <w:szCs w:val="18"/>
          <w:i w:val="1"/>
          <w:iCs w:val="1"/>
          <w:color w:val="00002D"/>
        </w:rPr>
        <w:t xml:space="preserve"> </w:t>
      </w:r>
      <w:r>
        <w:rPr>
          <w:rFonts w:ascii="Arial" w:cs="Arial" w:eastAsia="Arial" w:hAnsi="Arial"/>
          <w:sz w:val="18"/>
          <w:szCs w:val="18"/>
          <w:color w:val="00002D"/>
        </w:rPr>
        <w:t>evolution of software development from a sequential to an agile development method. ASU 2025-06 removes all references to project development stages to reflect this change in software development and requires capitalization of software costs to begin when management has authorized and committed to funding the project and it is probable the project will be completed and used to perform the intended function. ASU 2025-06 does not change what internal-use software costs can be capitalized or when such capitalization ceases. ASU 2025-06 is effective for annual reporting periods beginning after December 15, 2027, and interim reporting periods within those annual reporting periods. Early adoption is permitted as of the beginning of an annual reporting period. ASU 2025-06 may be adopted either prospectively, using a modified transition approach, or retrospectively. The Company is currently evaluating the impact of ASU 2025-06 on its future consolidated financial statements and related disclosures.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 xml:space="preserve">In November 2024 the FASB issued ASU 2024-03, </w:t>
      </w:r>
      <w:r>
        <w:rPr>
          <w:rFonts w:ascii="Arial" w:cs="Arial" w:eastAsia="Arial" w:hAnsi="Arial"/>
          <w:sz w:val="18"/>
          <w:szCs w:val="18"/>
          <w:i w:val="1"/>
          <w:iCs w:val="1"/>
          <w:color w:val="00002D"/>
        </w:rPr>
        <w:t>Income Statement-Reporting Comprehensive Income-Expense Disaggregation</w:t>
      </w:r>
      <w:r>
        <w:rPr>
          <w:rFonts w:ascii="Arial" w:cs="Arial" w:eastAsia="Arial" w:hAnsi="Arial"/>
          <w:sz w:val="18"/>
          <w:szCs w:val="18"/>
          <w:color w:val="00002D"/>
        </w:rPr>
        <w:t xml:space="preserve"> </w:t>
      </w:r>
      <w:r>
        <w:rPr>
          <w:rFonts w:ascii="Arial" w:cs="Arial" w:eastAsia="Arial" w:hAnsi="Arial"/>
          <w:sz w:val="18"/>
          <w:szCs w:val="18"/>
          <w:i w:val="1"/>
          <w:iCs w:val="1"/>
          <w:color w:val="00002D"/>
        </w:rPr>
        <w:t xml:space="preserve">Disclosures (Subtopic 220-40): Disaggregation of Income Statement Expenses </w:t>
      </w:r>
      <w:r>
        <w:rPr>
          <w:rFonts w:ascii="Arial" w:cs="Arial" w:eastAsia="Arial" w:hAnsi="Arial"/>
          <w:sz w:val="18"/>
          <w:szCs w:val="18"/>
          <w:color w:val="00002D"/>
        </w:rPr>
        <w:t>(“ASU 2024-03”). ASU 2024-03 is intended to provide more</w:t>
      </w:r>
      <w:r>
        <w:rPr>
          <w:rFonts w:ascii="Arial" w:cs="Arial" w:eastAsia="Arial" w:hAnsi="Arial"/>
          <w:sz w:val="18"/>
          <w:szCs w:val="18"/>
          <w:i w:val="1"/>
          <w:iCs w:val="1"/>
          <w:color w:val="00002D"/>
        </w:rPr>
        <w:t xml:space="preserve"> </w:t>
      </w:r>
      <w:r>
        <w:rPr>
          <w:rFonts w:ascii="Arial" w:cs="Arial" w:eastAsia="Arial" w:hAnsi="Arial"/>
          <w:sz w:val="18"/>
          <w:szCs w:val="18"/>
          <w:color w:val="00002D"/>
        </w:rPr>
        <w:t>detailed expense information and requires additional disaggregated disclosures in the notes to the financial statements for categories of expenses that are included on the face of the income statement. ASU 2024-03 is effective for the fiscal years beginning after December 15, 2026, and interim periods within fiscal years beginning after December 15, 2027. Early adoption is permitted. ASU 2024-03 may be applied either prospectively to financial statements issued for periods after the effective date of ASU 2024-03 or retrospectively to all prior periods presented in the consolidated financial statements. The Company is currently evaluating the impact of ASU 2024-03 on its future consolidated financial statements and related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3. Discontinued Operations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On August 6, 2025, the Company</w:t>
      </w:r>
      <w:r>
        <w:rPr>
          <w:rFonts w:ascii="Arial" w:cs="Arial" w:eastAsia="Arial" w:hAnsi="Arial"/>
          <w:sz w:val="18"/>
          <w:szCs w:val="18"/>
          <w:color w:val="000000"/>
        </w:rPr>
        <w:t>’s</w:t>
      </w:r>
      <w:r>
        <w:rPr>
          <w:rFonts w:ascii="Arial" w:cs="Arial" w:eastAsia="Arial" w:hAnsi="Arial"/>
          <w:sz w:val="18"/>
          <w:szCs w:val="18"/>
          <w:color w:val="00002D"/>
        </w:rPr>
        <w:t xml:space="preserve"> Board of Directors (the “Board”) determined, after considering all reasonably available options and a broader strategic reassessment, that it was in the best interests of the Company</w:t>
      </w:r>
      <w:r>
        <w:rPr>
          <w:rFonts w:ascii="Arial" w:cs="Arial" w:eastAsia="Arial" w:hAnsi="Arial"/>
          <w:sz w:val="18"/>
          <w:szCs w:val="18"/>
          <w:color w:val="000000"/>
        </w:rPr>
        <w:t>’</w:t>
      </w:r>
      <w:r>
        <w:rPr>
          <w:rFonts w:ascii="Arial" w:cs="Arial" w:eastAsia="Arial" w:hAnsi="Arial"/>
          <w:sz w:val="18"/>
          <w:szCs w:val="18"/>
          <w:color w:val="00002D"/>
        </w:rPr>
        <w:t xml:space="preserve">s stockholders to wind down CarOffer. </w:t>
      </w:r>
      <w:r>
        <w:rPr>
          <w:rFonts w:ascii="Arial" w:cs="Arial" w:eastAsia="Arial" w:hAnsi="Arial"/>
          <w:sz w:val="18"/>
          <w:szCs w:val="18"/>
          <w:color w:val="000000"/>
        </w:rPr>
        <w:t>The wind-down of</w:t>
      </w:r>
      <w:r>
        <w:rPr>
          <w:rFonts w:ascii="Arial" w:cs="Arial" w:eastAsia="Arial" w:hAnsi="Arial"/>
          <w:sz w:val="18"/>
          <w:szCs w:val="18"/>
          <w:color w:val="00002D"/>
        </w:rPr>
        <w:t xml:space="preserve"> </w:t>
      </w:r>
      <w:r>
        <w:rPr>
          <w:rFonts w:ascii="Arial" w:cs="Arial" w:eastAsia="Arial" w:hAnsi="Arial"/>
          <w:sz w:val="18"/>
          <w:szCs w:val="18"/>
          <w:color w:val="000000"/>
        </w:rPr>
        <w:t xml:space="preserve">CarOffer was completed and the business was considered abandoned for accounting purposes as of December 31, 2025. The assets, liabilities, and results of operations of CarOffer, excluding certain assets that have been repurposed for corporate use, have been presented as discontinued operations in accordance with ASC 205-20, </w:t>
      </w:r>
      <w:r>
        <w:rPr>
          <w:rFonts w:ascii="Arial" w:cs="Arial" w:eastAsia="Arial" w:hAnsi="Arial"/>
          <w:sz w:val="18"/>
          <w:szCs w:val="18"/>
          <w:i w:val="1"/>
          <w:iCs w:val="1"/>
          <w:color w:val="000000"/>
        </w:rPr>
        <w:t>Discontinued Operations</w:t>
      </w:r>
      <w:r>
        <w:rPr>
          <w:rFonts w:ascii="Arial" w:cs="Arial" w:eastAsia="Arial" w:hAnsi="Arial"/>
          <w:sz w:val="18"/>
          <w:szCs w:val="18"/>
          <w:color w:val="000000"/>
        </w:rPr>
        <w:t xml:space="preserve">, as the disposition represents a strategic shift that has a major effect on the Company’s operations and financial results. </w:t>
      </w:r>
      <w:r>
        <w:rPr>
          <w:rFonts w:ascii="Arial" w:cs="Arial" w:eastAsia="Arial" w:hAnsi="Arial"/>
          <w:sz w:val="18"/>
          <w:szCs w:val="18"/>
          <w:color w:val="00002D"/>
        </w:rPr>
        <w:t>CarOffer</w:t>
      </w:r>
      <w:r>
        <w:rPr>
          <w:rFonts w:ascii="Arial" w:cs="Arial" w:eastAsia="Arial" w:hAnsi="Arial"/>
          <w:sz w:val="18"/>
          <w:szCs w:val="18"/>
          <w:color w:val="000000"/>
        </w:rPr>
        <w:t>’</w:t>
      </w:r>
      <w:r>
        <w:rPr>
          <w:rFonts w:ascii="Arial" w:cs="Arial" w:eastAsia="Arial" w:hAnsi="Arial"/>
          <w:sz w:val="18"/>
          <w:szCs w:val="18"/>
          <w:color w:val="00002D"/>
        </w:rPr>
        <w:t>s operations were</w:t>
      </w:r>
      <w:r>
        <w:rPr>
          <w:rFonts w:ascii="Arial" w:cs="Arial" w:eastAsia="Arial" w:hAnsi="Arial"/>
          <w:sz w:val="18"/>
          <w:szCs w:val="18"/>
          <w:color w:val="000000"/>
        </w:rPr>
        <w:t xml:space="preserve"> previously reported within the </w:t>
      </w:r>
      <w:r>
        <w:rPr>
          <w:rFonts w:ascii="Arial" w:cs="Arial" w:eastAsia="Arial" w:hAnsi="Arial"/>
          <w:sz w:val="18"/>
          <w:szCs w:val="18"/>
          <w:color w:val="00002D"/>
        </w:rPr>
        <w:t>Digital Wholesale</w:t>
      </w:r>
      <w:r>
        <w:rPr>
          <w:rFonts w:ascii="Arial" w:cs="Arial" w:eastAsia="Arial" w:hAnsi="Arial"/>
          <w:sz w:val="18"/>
          <w:szCs w:val="18"/>
          <w:color w:val="000000"/>
        </w:rPr>
        <w:t xml:space="preserve"> </w:t>
      </w:r>
      <w:r>
        <w:rPr>
          <w:rFonts w:ascii="Arial" w:cs="Arial" w:eastAsia="Arial" w:hAnsi="Arial"/>
          <w:sz w:val="18"/>
          <w:szCs w:val="18"/>
          <w:color w:val="00002D"/>
        </w:rPr>
        <w:t>segment.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1" w:lineRule="auto"/>
        <w:rPr>
          <w:sz w:val="20"/>
          <w:szCs w:val="20"/>
          <w:color w:val="auto"/>
        </w:rPr>
      </w:pPr>
      <w:r>
        <w:rPr>
          <w:rFonts w:ascii="Arial" w:cs="Arial" w:eastAsia="Arial" w:hAnsi="Arial"/>
          <w:sz w:val="18"/>
          <w:szCs w:val="18"/>
          <w:color w:val="00002D"/>
        </w:rPr>
        <w:t>For the three months ended March 31, 2025, major classes of discontinued operations included in the Unaudited Condensed Consolidated Income Statements were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7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center"/>
              <w:ind w:right="2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7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ind w:right="1"/>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r>
      <w:tr>
        <w:trPr>
          <w:trHeight w:val="203"/>
        </w:trPr>
        <w:tc>
          <w:tcPr>
            <w:tcW w:w="78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EEF2F7"/>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12,923</w:t>
            </w:r>
          </w:p>
        </w:tc>
        <w:tc>
          <w:tcPr>
            <w:tcW w:w="100" w:type="dxa"/>
            <w:vAlign w:val="bottom"/>
            <w:shd w:val="clear" w:color="auto" w:fill="EEF2F7"/>
          </w:tcPr>
          <w:p>
            <w:pPr>
              <w:spacing w:after="0"/>
              <w:rPr>
                <w:sz w:val="17"/>
                <w:szCs w:val="17"/>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8"/>
                <w:szCs w:val="18"/>
                <w:color w:val="auto"/>
              </w:rPr>
              <w:t>Cost of revenue</w:t>
            </w: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11,108</w:t>
            </w:r>
          </w:p>
        </w:tc>
        <w:tc>
          <w:tcPr>
            <w:tcW w:w="100" w:type="dxa"/>
            <w:vAlign w:val="bottom"/>
          </w:tcPr>
          <w:p>
            <w:pPr>
              <w:spacing w:after="0"/>
              <w:rPr>
                <w:sz w:val="16"/>
                <w:szCs w:val="16"/>
                <w:color w:val="auto"/>
              </w:rPr>
            </w:pPr>
          </w:p>
        </w:tc>
      </w:tr>
      <w:tr>
        <w:trPr>
          <w:trHeight w:val="196"/>
        </w:trPr>
        <w:tc>
          <w:tcPr>
            <w:tcW w:w="78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Gross profit</w:t>
            </w:r>
          </w:p>
        </w:tc>
        <w:tc>
          <w:tcPr>
            <w:tcW w:w="500" w:type="dxa"/>
            <w:vAlign w:val="bottom"/>
            <w:shd w:val="clear" w:color="auto" w:fill="EEF2F7"/>
          </w:tcPr>
          <w:p>
            <w:pPr>
              <w:spacing w:after="0"/>
              <w:rPr>
                <w:sz w:val="17"/>
                <w:szCs w:val="17"/>
                <w:color w:val="auto"/>
              </w:rPr>
            </w:pPr>
          </w:p>
        </w:tc>
        <w:tc>
          <w:tcPr>
            <w:tcW w:w="80" w:type="dxa"/>
            <w:vAlign w:val="bottom"/>
            <w:shd w:val="clear" w:color="auto" w:fill="EEF2F7"/>
          </w:tcPr>
          <w:p>
            <w:pPr>
              <w:spacing w:after="0"/>
              <w:rPr>
                <w:sz w:val="17"/>
                <w:szCs w:val="17"/>
                <w:color w:val="auto"/>
              </w:rPr>
            </w:pPr>
          </w:p>
        </w:tc>
        <w:tc>
          <w:tcPr>
            <w:tcW w:w="162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1,815</w:t>
            </w:r>
          </w:p>
        </w:tc>
        <w:tc>
          <w:tcPr>
            <w:tcW w:w="100" w:type="dxa"/>
            <w:vAlign w:val="bottom"/>
            <w:shd w:val="clear" w:color="auto" w:fill="EEF2F7"/>
          </w:tcPr>
          <w:p>
            <w:pPr>
              <w:spacing w:after="0"/>
              <w:rPr>
                <w:sz w:val="17"/>
                <w:szCs w:val="17"/>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500" w:type="dxa"/>
            <w:vAlign w:val="bottom"/>
            <w:shd w:val="clear" w:color="auto" w:fill="EEF2F7"/>
          </w:tcPr>
          <w:p>
            <w:pPr>
              <w:spacing w:after="0"/>
              <w:rPr>
                <w:sz w:val="17"/>
                <w:szCs w:val="17"/>
                <w:color w:val="auto"/>
              </w:rPr>
            </w:pPr>
          </w:p>
        </w:tc>
        <w:tc>
          <w:tcPr>
            <w:tcW w:w="80" w:type="dxa"/>
            <w:vAlign w:val="bottom"/>
            <w:shd w:val="clear" w:color="auto" w:fill="EEF2F7"/>
          </w:tcPr>
          <w:p>
            <w:pPr>
              <w:spacing w:after="0"/>
              <w:rPr>
                <w:sz w:val="17"/>
                <w:szCs w:val="17"/>
                <w:color w:val="auto"/>
              </w:rPr>
            </w:pPr>
          </w:p>
        </w:tc>
        <w:tc>
          <w:tcPr>
            <w:tcW w:w="1620" w:type="dxa"/>
            <w:vAlign w:val="bottom"/>
            <w:shd w:val="clear" w:color="auto" w:fill="EEF2F7"/>
          </w:tcPr>
          <w:p>
            <w:pPr>
              <w:jc w:val="right"/>
              <w:spacing w:after="0"/>
              <w:rPr>
                <w:sz w:val="20"/>
                <w:szCs w:val="20"/>
                <w:color w:val="auto"/>
              </w:rPr>
            </w:pPr>
            <w:r>
              <w:rPr>
                <w:rFonts w:ascii="Arial" w:cs="Arial" w:eastAsia="Arial" w:hAnsi="Arial"/>
                <w:sz w:val="16"/>
                <w:szCs w:val="16"/>
                <w:color w:val="auto"/>
              </w:rPr>
              <w:t>3,047</w:t>
            </w:r>
          </w:p>
        </w:tc>
        <w:tc>
          <w:tcPr>
            <w:tcW w:w="100" w:type="dxa"/>
            <w:vAlign w:val="bottom"/>
            <w:shd w:val="clear" w:color="auto" w:fill="EEF2F7"/>
          </w:tcPr>
          <w:p>
            <w:pPr>
              <w:spacing w:after="0"/>
              <w:rPr>
                <w:sz w:val="17"/>
                <w:szCs w:val="17"/>
                <w:color w:val="auto"/>
              </w:rPr>
            </w:pPr>
          </w:p>
        </w:tc>
      </w:tr>
      <w:tr>
        <w:trPr>
          <w:trHeight w:val="203"/>
        </w:trPr>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Product, technology, and development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17"/>
                <w:szCs w:val="17"/>
                <w:color w:val="auto"/>
              </w:rPr>
            </w:pPr>
          </w:p>
        </w:tc>
      </w:tr>
      <w:tr>
        <w:trPr>
          <w:trHeight w:val="203"/>
        </w:trPr>
        <w:tc>
          <w:tcPr>
            <w:tcW w:w="78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EEF2F7"/>
          </w:tcPr>
          <w:p>
            <w:pPr>
              <w:spacing w:after="0"/>
              <w:rPr>
                <w:sz w:val="17"/>
                <w:szCs w:val="17"/>
                <w:color w:val="auto"/>
              </w:rPr>
            </w:pPr>
          </w:p>
        </w:tc>
        <w:tc>
          <w:tcPr>
            <w:tcW w:w="80" w:type="dxa"/>
            <w:vAlign w:val="bottom"/>
            <w:shd w:val="clear" w:color="auto" w:fill="EEF2F7"/>
          </w:tcPr>
          <w:p>
            <w:pPr>
              <w:spacing w:after="0"/>
              <w:rPr>
                <w:sz w:val="17"/>
                <w:szCs w:val="17"/>
                <w:color w:val="auto"/>
              </w:rPr>
            </w:pPr>
          </w:p>
        </w:tc>
        <w:tc>
          <w:tcPr>
            <w:tcW w:w="162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EEF2F7"/>
          </w:tcPr>
          <w:p>
            <w:pPr>
              <w:spacing w:after="0"/>
              <w:rPr>
                <w:sz w:val="17"/>
                <w:szCs w:val="17"/>
                <w:color w:val="auto"/>
              </w:rPr>
            </w:pPr>
          </w:p>
        </w:tc>
      </w:tr>
      <w:tr>
        <w:trPr>
          <w:trHeight w:val="189"/>
        </w:trPr>
        <w:tc>
          <w:tcPr>
            <w:tcW w:w="7800" w:type="dxa"/>
            <w:vAlign w:val="bottom"/>
          </w:tcPr>
          <w:p>
            <w:pPr>
              <w:ind w:left="140"/>
              <w:spacing w:after="0" w:line="189" w:lineRule="exact"/>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6"/>
                <w:szCs w:val="16"/>
                <w:color w:val="auto"/>
              </w:rPr>
            </w:pPr>
          </w:p>
        </w:tc>
      </w:tr>
      <w:tr>
        <w:trPr>
          <w:trHeight w:val="196"/>
        </w:trPr>
        <w:tc>
          <w:tcPr>
            <w:tcW w:w="7800" w:type="dxa"/>
            <w:vAlign w:val="bottom"/>
            <w:shd w:val="clear" w:color="auto" w:fill="EEF2F7"/>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EEF2F7"/>
          </w:tcPr>
          <w:p>
            <w:pPr>
              <w:spacing w:after="0"/>
              <w:rPr>
                <w:sz w:val="17"/>
                <w:szCs w:val="17"/>
                <w:color w:val="auto"/>
              </w:rPr>
            </w:pPr>
          </w:p>
        </w:tc>
        <w:tc>
          <w:tcPr>
            <w:tcW w:w="80" w:type="dxa"/>
            <w:vAlign w:val="bottom"/>
            <w:tcBorders>
              <w:bottom w:val="single" w:sz="8" w:color="auto"/>
            </w:tcBorders>
            <w:shd w:val="clear" w:color="auto" w:fill="EEF2F7"/>
          </w:tcPr>
          <w:p>
            <w:pPr>
              <w:spacing w:after="0"/>
              <w:rPr>
                <w:sz w:val="17"/>
                <w:szCs w:val="17"/>
                <w:color w:val="auto"/>
              </w:rPr>
            </w:pPr>
          </w:p>
        </w:tc>
        <w:tc>
          <w:tcPr>
            <w:tcW w:w="1620" w:type="dxa"/>
            <w:vAlign w:val="bottom"/>
            <w:tcBorders>
              <w:bottom w:val="single" w:sz="8" w:color="auto"/>
            </w:tcBorders>
            <w:shd w:val="clear" w:color="auto" w:fill="EEF2F7"/>
          </w:tcPr>
          <w:p>
            <w:pPr>
              <w:jc w:val="right"/>
              <w:spacing w:after="0"/>
              <w:rPr>
                <w:sz w:val="20"/>
                <w:szCs w:val="20"/>
                <w:color w:val="auto"/>
              </w:rPr>
            </w:pPr>
            <w:r>
              <w:rPr>
                <w:rFonts w:ascii="Arial" w:cs="Arial" w:eastAsia="Arial" w:hAnsi="Arial"/>
                <w:sz w:val="16"/>
                <w:szCs w:val="16"/>
                <w:color w:val="auto"/>
              </w:rPr>
              <w:t>6,714</w:t>
            </w:r>
          </w:p>
        </w:tc>
        <w:tc>
          <w:tcPr>
            <w:tcW w:w="100" w:type="dxa"/>
            <w:vAlign w:val="bottom"/>
            <w:shd w:val="clear" w:color="auto" w:fill="EEF2F7"/>
          </w:tcPr>
          <w:p>
            <w:pPr>
              <w:spacing w:after="0"/>
              <w:rPr>
                <w:sz w:val="17"/>
                <w:szCs w:val="17"/>
                <w:color w:val="auto"/>
              </w:rPr>
            </w:pPr>
          </w:p>
        </w:tc>
      </w:tr>
      <w:tr>
        <w:trPr>
          <w:trHeight w:val="183"/>
        </w:trPr>
        <w:tc>
          <w:tcPr>
            <w:tcW w:w="7800" w:type="dxa"/>
            <w:vAlign w:val="bottom"/>
          </w:tcPr>
          <w:p>
            <w:pPr>
              <w:spacing w:after="0" w:line="182" w:lineRule="exact"/>
              <w:rPr>
                <w:sz w:val="20"/>
                <w:szCs w:val="20"/>
                <w:color w:val="auto"/>
              </w:rPr>
            </w:pPr>
            <w:r>
              <w:rPr>
                <w:rFonts w:ascii="Arial" w:cs="Arial" w:eastAsia="Arial" w:hAnsi="Arial"/>
                <w:sz w:val="18"/>
                <w:szCs w:val="18"/>
                <w:color w:val="auto"/>
              </w:rPr>
              <w:t>Loss from discontinued operations before income taxes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jc w:val="right"/>
              <w:spacing w:after="0" w:line="183" w:lineRule="exact"/>
              <w:rPr>
                <w:sz w:val="20"/>
                <w:szCs w:val="20"/>
                <w:color w:val="auto"/>
              </w:rPr>
            </w:pPr>
            <w:r>
              <w:rPr>
                <w:rFonts w:ascii="Arial" w:cs="Arial" w:eastAsia="Arial" w:hAnsi="Arial"/>
                <w:sz w:val="16"/>
                <w:szCs w:val="16"/>
                <w:color w:val="auto"/>
              </w:rPr>
              <w:t>(4,899)</w:t>
            </w:r>
          </w:p>
        </w:tc>
        <w:tc>
          <w:tcPr>
            <w:tcW w:w="100" w:type="dxa"/>
            <w:vAlign w:val="bottom"/>
          </w:tcPr>
          <w:p>
            <w:pPr>
              <w:spacing w:after="0"/>
              <w:rPr>
                <w:sz w:val="15"/>
                <w:szCs w:val="15"/>
                <w:color w:val="auto"/>
              </w:rPr>
            </w:pPr>
          </w:p>
        </w:tc>
      </w:tr>
      <w:tr>
        <w:trPr>
          <w:trHeight w:val="203"/>
        </w:trPr>
        <w:tc>
          <w:tcPr>
            <w:tcW w:w="78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Benefit from income taxes</w:t>
            </w:r>
          </w:p>
        </w:tc>
        <w:tc>
          <w:tcPr>
            <w:tcW w:w="500" w:type="dxa"/>
            <w:vAlign w:val="bottom"/>
            <w:shd w:val="clear" w:color="auto" w:fill="EEF2F7"/>
          </w:tcPr>
          <w:p>
            <w:pPr>
              <w:spacing w:after="0"/>
              <w:rPr>
                <w:sz w:val="17"/>
                <w:szCs w:val="17"/>
                <w:color w:val="auto"/>
              </w:rPr>
            </w:pPr>
          </w:p>
        </w:tc>
        <w:tc>
          <w:tcPr>
            <w:tcW w:w="80" w:type="dxa"/>
            <w:vAlign w:val="bottom"/>
            <w:shd w:val="clear" w:color="auto" w:fill="EEF2F7"/>
          </w:tcPr>
          <w:p>
            <w:pPr>
              <w:spacing w:after="0"/>
              <w:rPr>
                <w:sz w:val="17"/>
                <w:szCs w:val="17"/>
                <w:color w:val="auto"/>
              </w:rPr>
            </w:pPr>
          </w:p>
        </w:tc>
        <w:tc>
          <w:tcPr>
            <w:tcW w:w="1720" w:type="dxa"/>
            <w:vAlign w:val="bottom"/>
            <w:gridSpan w:val="2"/>
            <w:shd w:val="clear" w:color="auto" w:fill="EEF2F7"/>
          </w:tcPr>
          <w:p>
            <w:pPr>
              <w:jc w:val="right"/>
              <w:ind w:right="40"/>
              <w:spacing w:after="0"/>
              <w:rPr>
                <w:sz w:val="20"/>
                <w:szCs w:val="20"/>
                <w:color w:val="auto"/>
              </w:rPr>
            </w:pPr>
            <w:r>
              <w:rPr>
                <w:rFonts w:ascii="Arial" w:cs="Arial" w:eastAsia="Arial" w:hAnsi="Arial"/>
                <w:sz w:val="16"/>
                <w:szCs w:val="16"/>
                <w:color w:val="auto"/>
              </w:rPr>
              <w:t>(1,870)</w:t>
            </w:r>
          </w:p>
        </w:tc>
      </w:tr>
      <w:tr>
        <w:trPr>
          <w:trHeight w:val="183"/>
        </w:trPr>
        <w:tc>
          <w:tcPr>
            <w:tcW w:w="7800" w:type="dxa"/>
            <w:vAlign w:val="bottom"/>
          </w:tcPr>
          <w:p>
            <w:pPr>
              <w:spacing w:after="0" w:line="182" w:lineRule="exact"/>
              <w:rPr>
                <w:sz w:val="20"/>
                <w:szCs w:val="20"/>
                <w:color w:val="auto"/>
              </w:rPr>
            </w:pPr>
            <w:r>
              <w:rPr>
                <w:rFonts w:ascii="Arial" w:cs="Arial" w:eastAsia="Arial" w:hAnsi="Arial"/>
                <w:sz w:val="18"/>
                <w:szCs w:val="18"/>
                <w:color w:val="auto"/>
              </w:rPr>
              <w:t>Net loss from discontinued operations, net of tax benefits</w:t>
            </w:r>
          </w:p>
        </w:tc>
        <w:tc>
          <w:tcPr>
            <w:tcW w:w="5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(3,029)</w:t>
            </w:r>
          </w:p>
        </w:tc>
        <w:tc>
          <w:tcPr>
            <w:tcW w:w="100" w:type="dxa"/>
            <w:vAlign w:val="bottom"/>
          </w:tcPr>
          <w:p>
            <w:pPr>
              <w:spacing w:after="0"/>
              <w:rPr>
                <w:sz w:val="15"/>
                <w:szCs w:val="15"/>
                <w:color w:val="auto"/>
              </w:rPr>
            </w:pPr>
          </w:p>
        </w:tc>
      </w:tr>
      <w:tr>
        <w:trPr>
          <w:trHeight w:val="20"/>
        </w:trPr>
        <w:tc>
          <w:tcPr>
            <w:tcW w:w="7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00" w:type="dxa"/>
            <w:vAlign w:val="bottom"/>
            <w:shd w:val="clear" w:color="auto" w:fill="EEF2F7"/>
          </w:tcPr>
          <w:p>
            <w:pPr>
              <w:spacing w:after="0"/>
              <w:rPr>
                <w:sz w:val="15"/>
                <w:szCs w:val="15"/>
                <w:color w:val="auto"/>
              </w:rPr>
            </w:pPr>
          </w:p>
        </w:tc>
        <w:tc>
          <w:tcPr>
            <w:tcW w:w="500" w:type="dxa"/>
            <w:vAlign w:val="bottom"/>
            <w:shd w:val="clear" w:color="auto" w:fill="EEF2F7"/>
          </w:tcPr>
          <w:p>
            <w:pPr>
              <w:spacing w:after="0"/>
              <w:rPr>
                <w:sz w:val="15"/>
                <w:szCs w:val="15"/>
                <w:color w:val="auto"/>
              </w:rPr>
            </w:pPr>
          </w:p>
        </w:tc>
        <w:tc>
          <w:tcPr>
            <w:tcW w:w="80" w:type="dxa"/>
            <w:vAlign w:val="bottom"/>
            <w:shd w:val="clear" w:color="auto" w:fill="EEF2F7"/>
          </w:tcPr>
          <w:p>
            <w:pPr>
              <w:spacing w:after="0"/>
              <w:rPr>
                <w:sz w:val="15"/>
                <w:szCs w:val="15"/>
                <w:color w:val="auto"/>
              </w:rPr>
            </w:pPr>
          </w:p>
        </w:tc>
        <w:tc>
          <w:tcPr>
            <w:tcW w:w="1620" w:type="dxa"/>
            <w:vAlign w:val="bottom"/>
            <w:shd w:val="clear" w:color="auto" w:fill="EEF2F7"/>
          </w:tcPr>
          <w:p>
            <w:pPr>
              <w:spacing w:after="0"/>
              <w:rPr>
                <w:sz w:val="15"/>
                <w:szCs w:val="15"/>
                <w:color w:val="auto"/>
              </w:rPr>
            </w:pPr>
          </w:p>
        </w:tc>
        <w:tc>
          <w:tcPr>
            <w:tcW w:w="100" w:type="dxa"/>
            <w:vAlign w:val="bottom"/>
            <w:shd w:val="clear" w:color="auto" w:fill="EEF2F7"/>
          </w:tcPr>
          <w:p>
            <w:pPr>
              <w:spacing w:after="0"/>
              <w:rPr>
                <w:sz w:val="15"/>
                <w:szCs w:val="15"/>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Net loss from discontinued operations per share (Note 11)</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EEF2F7"/>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EF2F7"/>
          </w:tcPr>
          <w:p>
            <w:pPr>
              <w:jc w:val="right"/>
              <w:ind w:right="40"/>
              <w:spacing w:after="0"/>
              <w:rPr>
                <w:sz w:val="20"/>
                <w:szCs w:val="20"/>
                <w:color w:val="auto"/>
              </w:rPr>
            </w:pPr>
            <w:r>
              <w:rPr>
                <w:rFonts w:ascii="Arial" w:cs="Arial" w:eastAsia="Arial" w:hAnsi="Arial"/>
                <w:sz w:val="16"/>
                <w:szCs w:val="16"/>
                <w:color w:val="auto"/>
              </w:rPr>
              <w:t>(0.03)</w:t>
            </w:r>
          </w:p>
        </w:tc>
      </w:tr>
      <w:tr>
        <w:trPr>
          <w:trHeight w:val="203"/>
        </w:trPr>
        <w:tc>
          <w:tcPr>
            <w:tcW w:w="7800" w:type="dxa"/>
            <w:vAlign w:val="bottom"/>
          </w:tcPr>
          <w:p>
            <w:pPr>
              <w:ind w:left="140"/>
              <w:spacing w:after="0" w:line="202" w:lineRule="exact"/>
              <w:rPr>
                <w:sz w:val="20"/>
                <w:szCs w:val="20"/>
                <w:color w:val="auto"/>
              </w:rPr>
            </w:pPr>
            <w:r>
              <w:rPr>
                <w:rFonts w:ascii="Arial" w:cs="Arial" w:eastAsia="Arial" w:hAnsi="Arial"/>
                <w:sz w:val="17"/>
                <w:szCs w:val="17"/>
                <w:color w:val="auto"/>
              </w:rPr>
              <w:t>Diluted</w:t>
            </w:r>
            <w:r>
              <w:rPr>
                <w:rFonts w:ascii="Arial" w:cs="Arial" w:eastAsia="Arial" w:hAnsi="Arial"/>
                <w:sz w:val="23"/>
                <w:szCs w:val="23"/>
                <w:color w:val="auto"/>
                <w:vertAlign w:val="superscript"/>
              </w:rPr>
              <w:t>(1)</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(0.03)</w:t>
            </w:r>
          </w:p>
        </w:tc>
      </w:tr>
      <w:tr>
        <w:trPr>
          <w:trHeight w:val="184"/>
        </w:trPr>
        <w:tc>
          <w:tcPr>
            <w:tcW w:w="7800" w:type="dxa"/>
            <w:vAlign w:val="bottom"/>
            <w:shd w:val="clear" w:color="auto" w:fill="EEF2F7"/>
          </w:tcPr>
          <w:p>
            <w:pPr>
              <w:spacing w:after="0" w:line="183" w:lineRule="exact"/>
              <w:rPr>
                <w:sz w:val="20"/>
                <w:szCs w:val="20"/>
                <w:color w:val="auto"/>
              </w:rPr>
            </w:pPr>
            <w:r>
              <w:rPr>
                <w:rFonts w:ascii="Arial" w:cs="Arial" w:eastAsia="Arial" w:hAnsi="Arial"/>
                <w:sz w:val="18"/>
                <w:szCs w:val="18"/>
                <w:color w:val="auto"/>
              </w:rPr>
              <w:t>Weighted-average number of shares of common stock used in computing net loss per share</w:t>
            </w:r>
          </w:p>
        </w:tc>
        <w:tc>
          <w:tcPr>
            <w:tcW w:w="500" w:type="dxa"/>
            <w:vAlign w:val="bottom"/>
            <w:shd w:val="clear" w:color="auto" w:fill="EEF2F7"/>
          </w:tcPr>
          <w:p>
            <w:pPr>
              <w:spacing w:after="0"/>
              <w:rPr>
                <w:sz w:val="15"/>
                <w:szCs w:val="15"/>
                <w:color w:val="auto"/>
              </w:rPr>
            </w:pPr>
          </w:p>
        </w:tc>
        <w:tc>
          <w:tcPr>
            <w:tcW w:w="80" w:type="dxa"/>
            <w:vAlign w:val="bottom"/>
            <w:shd w:val="clear" w:color="auto" w:fill="EEF2F7"/>
          </w:tcPr>
          <w:p>
            <w:pPr>
              <w:spacing w:after="0"/>
              <w:rPr>
                <w:sz w:val="15"/>
                <w:szCs w:val="15"/>
                <w:color w:val="auto"/>
              </w:rPr>
            </w:pPr>
          </w:p>
        </w:tc>
        <w:tc>
          <w:tcPr>
            <w:tcW w:w="1620" w:type="dxa"/>
            <w:vAlign w:val="bottom"/>
            <w:shd w:val="clear" w:color="auto" w:fill="EEF2F7"/>
          </w:tcPr>
          <w:p>
            <w:pPr>
              <w:spacing w:after="0"/>
              <w:rPr>
                <w:sz w:val="15"/>
                <w:szCs w:val="15"/>
                <w:color w:val="auto"/>
              </w:rPr>
            </w:pPr>
          </w:p>
        </w:tc>
        <w:tc>
          <w:tcPr>
            <w:tcW w:w="100" w:type="dxa"/>
            <w:vAlign w:val="bottom"/>
            <w:shd w:val="clear" w:color="auto" w:fill="EEF2F7"/>
          </w:tcPr>
          <w:p>
            <w:pPr>
              <w:spacing w:after="0"/>
              <w:rPr>
                <w:sz w:val="15"/>
                <w:szCs w:val="15"/>
                <w:color w:val="auto"/>
              </w:rPr>
            </w:pPr>
          </w:p>
        </w:tc>
      </w:tr>
      <w:tr>
        <w:trPr>
          <w:trHeight w:val="221"/>
        </w:trPr>
        <w:tc>
          <w:tcPr>
            <w:tcW w:w="7800" w:type="dxa"/>
            <w:vAlign w:val="bottom"/>
            <w:shd w:val="clear" w:color="auto" w:fill="EEF2F7"/>
          </w:tcPr>
          <w:p>
            <w:pPr>
              <w:spacing w:after="0"/>
              <w:rPr>
                <w:sz w:val="20"/>
                <w:szCs w:val="20"/>
                <w:color w:val="auto"/>
              </w:rPr>
            </w:pPr>
            <w:r>
              <w:rPr>
                <w:rFonts w:ascii="Arial" w:cs="Arial" w:eastAsia="Arial" w:hAnsi="Arial"/>
                <w:sz w:val="18"/>
                <w:szCs w:val="18"/>
                <w:color w:val="auto"/>
              </w:rPr>
              <w:t>attributable to common stockholders</w:t>
            </w:r>
          </w:p>
        </w:tc>
        <w:tc>
          <w:tcPr>
            <w:tcW w:w="500" w:type="dxa"/>
            <w:vAlign w:val="bottom"/>
            <w:shd w:val="clear" w:color="auto" w:fill="EEF2F7"/>
          </w:tcPr>
          <w:p>
            <w:pPr>
              <w:spacing w:after="0"/>
              <w:rPr>
                <w:sz w:val="19"/>
                <w:szCs w:val="19"/>
                <w:color w:val="auto"/>
              </w:rPr>
            </w:pPr>
          </w:p>
        </w:tc>
        <w:tc>
          <w:tcPr>
            <w:tcW w:w="80" w:type="dxa"/>
            <w:vAlign w:val="bottom"/>
            <w:shd w:val="clear" w:color="auto" w:fill="EEF2F7"/>
          </w:tcPr>
          <w:p>
            <w:pPr>
              <w:spacing w:after="0"/>
              <w:rPr>
                <w:sz w:val="19"/>
                <w:szCs w:val="19"/>
                <w:color w:val="auto"/>
              </w:rPr>
            </w:pPr>
          </w:p>
        </w:tc>
        <w:tc>
          <w:tcPr>
            <w:tcW w:w="1620" w:type="dxa"/>
            <w:vAlign w:val="bottom"/>
            <w:shd w:val="clear" w:color="auto" w:fill="EEF2F7"/>
          </w:tcPr>
          <w:p>
            <w:pPr>
              <w:spacing w:after="0"/>
              <w:rPr>
                <w:sz w:val="19"/>
                <w:szCs w:val="19"/>
                <w:color w:val="auto"/>
              </w:rPr>
            </w:pPr>
          </w:p>
        </w:tc>
        <w:tc>
          <w:tcPr>
            <w:tcW w:w="100" w:type="dxa"/>
            <w:vAlign w:val="bottom"/>
            <w:shd w:val="clear" w:color="auto" w:fill="EEF2F7"/>
          </w:tcPr>
          <w:p>
            <w:pPr>
              <w:spacing w:after="0"/>
              <w:rPr>
                <w:sz w:val="19"/>
                <w:szCs w:val="19"/>
                <w:color w:val="auto"/>
              </w:rPr>
            </w:pPr>
          </w:p>
        </w:tc>
      </w:tr>
      <w:tr>
        <w:trPr>
          <w:trHeight w:val="202"/>
        </w:trPr>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103,094,690</w:t>
            </w:r>
          </w:p>
        </w:tc>
        <w:tc>
          <w:tcPr>
            <w:tcW w:w="100" w:type="dxa"/>
            <w:vAlign w:val="bottom"/>
          </w:tcPr>
          <w:p>
            <w:pPr>
              <w:spacing w:after="0"/>
              <w:rPr>
                <w:sz w:val="17"/>
                <w:szCs w:val="17"/>
                <w:color w:val="auto"/>
              </w:rPr>
            </w:pPr>
          </w:p>
        </w:tc>
      </w:tr>
      <w:tr>
        <w:trPr>
          <w:trHeight w:val="203"/>
        </w:trPr>
        <w:tc>
          <w:tcPr>
            <w:tcW w:w="78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Diluted</w:t>
            </w:r>
          </w:p>
        </w:tc>
        <w:tc>
          <w:tcPr>
            <w:tcW w:w="500" w:type="dxa"/>
            <w:vAlign w:val="bottom"/>
            <w:shd w:val="clear" w:color="auto" w:fill="EEF2F7"/>
          </w:tcPr>
          <w:p>
            <w:pPr>
              <w:spacing w:after="0"/>
              <w:rPr>
                <w:sz w:val="17"/>
                <w:szCs w:val="17"/>
                <w:color w:val="auto"/>
              </w:rPr>
            </w:pPr>
          </w:p>
        </w:tc>
        <w:tc>
          <w:tcPr>
            <w:tcW w:w="80" w:type="dxa"/>
            <w:vAlign w:val="bottom"/>
            <w:shd w:val="clear" w:color="auto" w:fill="EEF2F7"/>
          </w:tcPr>
          <w:p>
            <w:pPr>
              <w:spacing w:after="0"/>
              <w:rPr>
                <w:sz w:val="17"/>
                <w:szCs w:val="17"/>
                <w:color w:val="auto"/>
              </w:rPr>
            </w:pPr>
          </w:p>
        </w:tc>
        <w:tc>
          <w:tcPr>
            <w:tcW w:w="1620" w:type="dxa"/>
            <w:vAlign w:val="bottom"/>
            <w:shd w:val="clear" w:color="auto" w:fill="EEF2F7"/>
          </w:tcPr>
          <w:p>
            <w:pPr>
              <w:jc w:val="right"/>
              <w:spacing w:after="0"/>
              <w:rPr>
                <w:sz w:val="20"/>
                <w:szCs w:val="20"/>
                <w:color w:val="auto"/>
              </w:rPr>
            </w:pPr>
            <w:r>
              <w:rPr>
                <w:rFonts w:ascii="Arial" w:cs="Arial" w:eastAsia="Arial" w:hAnsi="Arial"/>
                <w:sz w:val="16"/>
                <w:szCs w:val="16"/>
                <w:color w:val="auto"/>
              </w:rPr>
              <w:t>105,068,046</w:t>
            </w:r>
          </w:p>
        </w:tc>
        <w:tc>
          <w:tcPr>
            <w:tcW w:w="100" w:type="dxa"/>
            <w:vAlign w:val="bottom"/>
            <w:shd w:val="clear" w:color="auto" w:fill="EEF2F7"/>
          </w:tcPr>
          <w:p>
            <w:pPr>
              <w:spacing w:after="0"/>
              <w:rPr>
                <w:sz w:val="17"/>
                <w:szCs w:val="17"/>
                <w:color w:val="auto"/>
              </w:rPr>
            </w:pPr>
          </w:p>
        </w:tc>
      </w:tr>
    </w:tbl>
    <w:p>
      <w:pPr>
        <w:spacing w:after="0" w:line="99" w:lineRule="exact"/>
        <w:rPr>
          <w:sz w:val="20"/>
          <w:szCs w:val="20"/>
          <w:color w:val="auto"/>
        </w:rPr>
      </w:pPr>
    </w:p>
    <w:p>
      <w:pPr>
        <w:ind w:left="1020" w:right="600" w:hanging="503"/>
        <w:spacing w:after="0" w:line="284" w:lineRule="auto"/>
        <w:tabs>
          <w:tab w:leader="none" w:pos="102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Diluted earnings per share from discontinued operations is calculated using the net income from continuing operations to determine the denominator, in accordance with applicable guidance.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Company has elected to present its Unaudited Condensed Consolidated Statement of Cash Flows on a consolidated basis, inclusive of discontinued operations activity in the table below. For the three months ended March 31, 2025, the following table presents significant non-cash items and capital expenditures of the discontinued operations for the period presented:</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8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8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r>
      <w:tr>
        <w:trPr>
          <w:trHeight w:val="203"/>
        </w:trPr>
        <w:tc>
          <w:tcPr>
            <w:tcW w:w="82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875</w:t>
            </w:r>
          </w:p>
        </w:tc>
        <w:tc>
          <w:tcPr>
            <w:tcW w:w="100" w:type="dxa"/>
            <w:vAlign w:val="bottom"/>
            <w:shd w:val="clear" w:color="auto" w:fill="EEF2F7"/>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Capitalized expenditures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(951)</w:t>
            </w:r>
          </w:p>
        </w:tc>
      </w:tr>
      <w:tr>
        <w:trPr>
          <w:trHeight w:val="203"/>
        </w:trPr>
        <w:tc>
          <w:tcPr>
            <w:tcW w:w="82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517</w:t>
            </w:r>
          </w:p>
        </w:tc>
        <w:tc>
          <w:tcPr>
            <w:tcW w:w="100" w:type="dxa"/>
            <w:vAlign w:val="bottom"/>
            <w:shd w:val="clear" w:color="auto" w:fill="EEF2F7"/>
          </w:tcPr>
          <w:p>
            <w:pPr>
              <w:spacing w:after="0"/>
              <w:rPr>
                <w:sz w:val="17"/>
                <w:szCs w:val="17"/>
                <w:color w:val="auto"/>
              </w:rPr>
            </w:pPr>
          </w:p>
        </w:tc>
      </w:tr>
    </w:tbl>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As a result of the wind-down, the Company incurred total expenditures of $13.3 million, of which all cash expenditures were incurred during the second half of 2025 and were all paid as of December 31, 2025. Of this amount, the Company incurred and paid $5.4 million of one-time restructuring costs, including severance and other employee-related costs and contract termination charges, attributable to discontinued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4. Revenue Recognition</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Company provides disaggregation of revenue by geographic region. Revenue by geographic region is disaggregated by (i) U.S. and (ii) International regions as disclosed in Note 13 of the Unaudited Condensed Consolidated Financial Statements. The Company believes these categories best depict how the nature, amount, timing, and uncertainty of revenue and cash flows are affected by economic factors.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ASC 606 requires that the Company disclose the aggregate amount of transaction price that is allocated to performance obligations that have not yet been satisfied as of the relevant quarter end.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For contracts with an original expected duration greater than one year, the aggregate amount of the transaction price allocated to the performance obligations that were unsatisfied as of March 31, 2026, was approximately $71.3 million, the majority of which the Company expects to recognize over the next 12 months.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For contracts with an original expected duration of one year or less, the Company has applied the practical expedient available under ASC 606 to not disclose the amount of transaction price allocated to unsatisfied performance obligations as of March 31, 2026. For performance obligations not satisfied as of March 31, 2026, and to which this expedient applies, the nature of the performance obligations, the variable consideration, and any consideration from contracts with customers not included in the transaction price is consistent with performance obligations satisfied as of March 31, 2026.</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the three months ended March 31, 2026 and 2025, revenue recognized from amounts included in deferred revenue at the beginning of the period was $23.6 million and $21.5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5. Fair Value of Financial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002D"/>
        </w:rPr>
        <w:t>As of March 31, 2026 and December 31, 2025, assets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64"/>
              <w:spacing w:after="0"/>
              <w:rPr>
                <w:sz w:val="20"/>
                <w:szCs w:val="20"/>
                <w:color w:val="auto"/>
              </w:rPr>
            </w:pPr>
            <w:r>
              <w:rPr>
                <w:rFonts w:ascii="Arial" w:cs="Arial" w:eastAsia="Arial" w:hAnsi="Arial"/>
                <w:sz w:val="14"/>
                <w:szCs w:val="14"/>
                <w:b w:val="1"/>
                <w:bCs w:val="1"/>
                <w:color w:val="auto"/>
              </w:rPr>
              <w:t>As of March 31, 2026</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43"/>
              <w:spacing w:after="0"/>
              <w:rPr>
                <w:sz w:val="20"/>
                <w:szCs w:val="20"/>
                <w:color w:val="auto"/>
              </w:rPr>
            </w:pPr>
            <w:r>
              <w:rPr>
                <w:rFonts w:ascii="Arial" w:cs="Arial" w:eastAsia="Arial" w:hAnsi="Arial"/>
                <w:sz w:val="14"/>
                <w:szCs w:val="14"/>
                <w:b w:val="1"/>
                <w:bCs w:val="1"/>
                <w:color w:val="auto"/>
              </w:rPr>
              <w:t>in Active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3"/>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w w:val="99"/>
              </w:rPr>
              <w:t>(Level 2</w:t>
            </w:r>
          </w:p>
        </w:tc>
        <w:tc>
          <w:tcPr>
            <w:tcW w:w="220" w:type="dxa"/>
            <w:vAlign w:val="bottom"/>
          </w:tcPr>
          <w:p>
            <w:pPr>
              <w:spacing w:after="0"/>
              <w:rPr>
                <w:sz w:val="14"/>
                <w:szCs w:val="14"/>
                <w:color w:val="auto"/>
              </w:rPr>
            </w:pPr>
          </w:p>
        </w:tc>
        <w:tc>
          <w:tcPr>
            <w:tcW w:w="800" w:type="dxa"/>
            <w:vAlign w:val="bottom"/>
          </w:tcPr>
          <w:p>
            <w:pPr>
              <w:jc w:val="center"/>
              <w:ind w:left="10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Inputs)</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jc w:val="center"/>
              <w:ind w:left="64"/>
              <w:spacing w:after="0" w:line="155"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316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Cash equivalents</w:t>
            </w:r>
          </w:p>
        </w:tc>
        <w:tc>
          <w:tcPr>
            <w:tcW w:w="2040" w:type="dxa"/>
            <w:vAlign w:val="bottom"/>
            <w:shd w:val="clear" w:color="auto" w:fill="EEF2F7"/>
          </w:tcPr>
          <w:p>
            <w:pPr>
              <w:spacing w:after="0"/>
              <w:rPr>
                <w:sz w:val="17"/>
                <w:szCs w:val="17"/>
                <w:color w:val="auto"/>
              </w:rPr>
            </w:pPr>
          </w:p>
        </w:tc>
        <w:tc>
          <w:tcPr>
            <w:tcW w:w="140" w:type="dxa"/>
            <w:vAlign w:val="bottom"/>
            <w:shd w:val="clear" w:color="auto" w:fill="EEF2F7"/>
          </w:tcPr>
          <w:p>
            <w:pPr>
              <w:spacing w:after="0"/>
              <w:rPr>
                <w:sz w:val="17"/>
                <w:szCs w:val="17"/>
                <w:color w:val="auto"/>
              </w:rPr>
            </w:pPr>
          </w:p>
        </w:tc>
        <w:tc>
          <w:tcPr>
            <w:tcW w:w="900" w:type="dxa"/>
            <w:vAlign w:val="bottom"/>
            <w:shd w:val="clear" w:color="auto" w:fill="EEF2F7"/>
          </w:tcPr>
          <w:p>
            <w:pPr>
              <w:spacing w:after="0"/>
              <w:rPr>
                <w:sz w:val="17"/>
                <w:szCs w:val="17"/>
                <w:color w:val="auto"/>
              </w:rPr>
            </w:pPr>
          </w:p>
        </w:tc>
        <w:tc>
          <w:tcPr>
            <w:tcW w:w="20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940" w:type="dxa"/>
            <w:vAlign w:val="bottom"/>
            <w:shd w:val="clear" w:color="auto" w:fill="EEF2F7"/>
          </w:tcPr>
          <w:p>
            <w:pPr>
              <w:spacing w:after="0"/>
              <w:rPr>
                <w:sz w:val="17"/>
                <w:szCs w:val="17"/>
                <w:color w:val="auto"/>
              </w:rPr>
            </w:pPr>
          </w:p>
        </w:tc>
        <w:tc>
          <w:tcPr>
            <w:tcW w:w="220" w:type="dxa"/>
            <w:vAlign w:val="bottom"/>
            <w:shd w:val="clear" w:color="auto" w:fill="EEF2F7"/>
          </w:tcPr>
          <w:p>
            <w:pPr>
              <w:spacing w:after="0"/>
              <w:rPr>
                <w:sz w:val="17"/>
                <w:szCs w:val="17"/>
                <w:color w:val="auto"/>
              </w:rPr>
            </w:pPr>
          </w:p>
        </w:tc>
        <w:tc>
          <w:tcPr>
            <w:tcW w:w="800" w:type="dxa"/>
            <w:vAlign w:val="bottom"/>
            <w:shd w:val="clear" w:color="auto" w:fill="EEF2F7"/>
          </w:tcPr>
          <w:p>
            <w:pPr>
              <w:spacing w:after="0"/>
              <w:rPr>
                <w:sz w:val="17"/>
                <w:szCs w:val="17"/>
                <w:color w:val="auto"/>
              </w:rPr>
            </w:pPr>
          </w:p>
        </w:tc>
        <w:tc>
          <w:tcPr>
            <w:tcW w:w="240" w:type="dxa"/>
            <w:vAlign w:val="bottom"/>
            <w:shd w:val="clear" w:color="auto" w:fill="EEF2F7"/>
          </w:tcPr>
          <w:p>
            <w:pPr>
              <w:spacing w:after="0"/>
              <w:rPr>
                <w:sz w:val="17"/>
                <w:szCs w:val="17"/>
                <w:color w:val="auto"/>
              </w:rPr>
            </w:pPr>
          </w:p>
        </w:tc>
        <w:tc>
          <w:tcPr>
            <w:tcW w:w="220" w:type="dxa"/>
            <w:vAlign w:val="bottom"/>
            <w:shd w:val="clear" w:color="auto" w:fill="EEF2F7"/>
          </w:tcPr>
          <w:p>
            <w:pPr>
              <w:spacing w:after="0"/>
              <w:rPr>
                <w:sz w:val="17"/>
                <w:szCs w:val="17"/>
                <w:color w:val="auto"/>
              </w:rPr>
            </w:pPr>
          </w:p>
        </w:tc>
        <w:tc>
          <w:tcPr>
            <w:tcW w:w="220" w:type="dxa"/>
            <w:vAlign w:val="bottom"/>
            <w:shd w:val="clear" w:color="auto" w:fill="EEF2F7"/>
          </w:tcPr>
          <w:p>
            <w:pPr>
              <w:spacing w:after="0"/>
              <w:rPr>
                <w:sz w:val="17"/>
                <w:szCs w:val="17"/>
                <w:color w:val="auto"/>
              </w:rPr>
            </w:pPr>
          </w:p>
        </w:tc>
        <w:tc>
          <w:tcPr>
            <w:tcW w:w="82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160" w:type="dxa"/>
            <w:vAlign w:val="bottom"/>
          </w:tcPr>
          <w:p>
            <w:pPr>
              <w:ind w:left="80"/>
              <w:spacing w:after="0" w:line="202" w:lineRule="exact"/>
              <w:rPr>
                <w:sz w:val="20"/>
                <w:szCs w:val="20"/>
                <w:color w:val="auto"/>
              </w:rPr>
            </w:pPr>
            <w:r>
              <w:rPr>
                <w:rFonts w:ascii="Arial" w:cs="Arial" w:eastAsia="Arial" w:hAnsi="Arial"/>
                <w:sz w:val="18"/>
                <w:szCs w:val="18"/>
                <w:color w:val="auto"/>
              </w:rPr>
              <w:t>Mutual funds</w:t>
            </w:r>
          </w:p>
        </w:tc>
        <w:tc>
          <w:tcPr>
            <w:tcW w:w="2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3,669</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760"/>
              <w:spacing w:after="0" w:line="202" w:lineRule="exact"/>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3,669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3,669</w:t>
            </w:r>
          </w:p>
        </w:tc>
        <w:tc>
          <w:tcPr>
            <w:tcW w:w="300" w:type="dxa"/>
            <w:vAlign w:val="bottom"/>
            <w:gridSpan w:val="2"/>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EEF2F7"/>
          </w:tcPr>
          <w:p>
            <w:pPr>
              <w:ind w:left="760"/>
              <w:spacing w:after="0" w:line="196" w:lineRule="exact"/>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EEF2F7"/>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EEF2F7"/>
          </w:tcPr>
          <w:p>
            <w:pPr>
              <w:ind w:left="60"/>
              <w:spacing w:after="0" w:line="196" w:lineRule="exact"/>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EEF2F7"/>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3,669</w:t>
            </w:r>
          </w:p>
        </w:tc>
        <w:tc>
          <w:tcPr>
            <w:tcW w:w="100" w:type="dxa"/>
            <w:vAlign w:val="bottom"/>
            <w:shd w:val="clear" w:color="auto" w:fill="EEF2F7"/>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Borders>
              <w:top w:val="single" w:sz="8" w:color="EEF2F7"/>
            </w:tcBorders>
            <w:shd w:val="clear" w:color="auto" w:fill="EEF2F7"/>
          </w:tcPr>
          <w:p>
            <w:pPr>
              <w:spacing w:after="0" w:line="20" w:lineRule="exact"/>
              <w:rPr>
                <w:sz w:val="1"/>
                <w:szCs w:val="1"/>
                <w:color w:val="auto"/>
              </w:rPr>
            </w:pPr>
          </w:p>
        </w:tc>
        <w:tc>
          <w:tcPr>
            <w:tcW w:w="2040" w:type="dxa"/>
            <w:vAlign w:val="bottom"/>
            <w:tcBorders>
              <w:top w:val="single" w:sz="8" w:color="EEF2F7"/>
            </w:tcBorders>
            <w:shd w:val="clear" w:color="auto" w:fill="EEF2F7"/>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EF2F7"/>
            </w:tcBorders>
            <w:shd w:val="clear" w:color="auto" w:fill="EEF2F7"/>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F2F7"/>
            </w:tcBorders>
            <w:shd w:val="clear" w:color="auto" w:fill="EEF2F7"/>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F2F7"/>
            </w:tcBorders>
            <w:shd w:val="clear" w:color="auto" w:fill="EEF2F7"/>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F2F7"/>
            </w:tcBorders>
            <w:shd w:val="clear" w:color="auto" w:fill="EEF2F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64"/>
              <w:spacing w:after="0"/>
              <w:rPr>
                <w:sz w:val="20"/>
                <w:szCs w:val="20"/>
                <w:color w:val="auto"/>
              </w:rPr>
            </w:pPr>
            <w:r>
              <w:rPr>
                <w:rFonts w:ascii="Arial" w:cs="Arial" w:eastAsia="Arial" w:hAnsi="Arial"/>
                <w:sz w:val="14"/>
                <w:szCs w:val="14"/>
                <w:b w:val="1"/>
                <w:bCs w:val="1"/>
                <w:color w:val="auto"/>
              </w:rPr>
              <w:t>As of December 31, 2025</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6"/>
        </w:trPr>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43"/>
              <w:spacing w:after="0"/>
              <w:rPr>
                <w:sz w:val="20"/>
                <w:szCs w:val="20"/>
                <w:color w:val="auto"/>
              </w:rPr>
            </w:pPr>
            <w:r>
              <w:rPr>
                <w:rFonts w:ascii="Arial" w:cs="Arial" w:eastAsia="Arial" w:hAnsi="Arial"/>
                <w:sz w:val="14"/>
                <w:szCs w:val="14"/>
                <w:b w:val="1"/>
                <w:bCs w:val="1"/>
                <w:color w:val="auto"/>
              </w:rPr>
              <w:t>in Active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3"/>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w w:val="99"/>
              </w:rPr>
              <w:t>(Level 2</w:t>
            </w:r>
          </w:p>
        </w:tc>
        <w:tc>
          <w:tcPr>
            <w:tcW w:w="220" w:type="dxa"/>
            <w:vAlign w:val="bottom"/>
          </w:tcPr>
          <w:p>
            <w:pPr>
              <w:spacing w:after="0"/>
              <w:rPr>
                <w:sz w:val="14"/>
                <w:szCs w:val="14"/>
                <w:color w:val="auto"/>
              </w:rPr>
            </w:pPr>
          </w:p>
        </w:tc>
        <w:tc>
          <w:tcPr>
            <w:tcW w:w="800" w:type="dxa"/>
            <w:vAlign w:val="bottom"/>
          </w:tcPr>
          <w:p>
            <w:pPr>
              <w:jc w:val="center"/>
              <w:ind w:left="10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Inputs)</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jc w:val="center"/>
              <w:ind w:left="64"/>
              <w:spacing w:after="0" w:line="155"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316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Cash equivalents</w:t>
            </w:r>
          </w:p>
        </w:tc>
        <w:tc>
          <w:tcPr>
            <w:tcW w:w="2040" w:type="dxa"/>
            <w:vAlign w:val="bottom"/>
            <w:shd w:val="clear" w:color="auto" w:fill="EEF2F7"/>
          </w:tcPr>
          <w:p>
            <w:pPr>
              <w:spacing w:after="0"/>
              <w:rPr>
                <w:sz w:val="17"/>
                <w:szCs w:val="17"/>
                <w:color w:val="auto"/>
              </w:rPr>
            </w:pPr>
          </w:p>
        </w:tc>
        <w:tc>
          <w:tcPr>
            <w:tcW w:w="140" w:type="dxa"/>
            <w:vAlign w:val="bottom"/>
            <w:shd w:val="clear" w:color="auto" w:fill="EEF2F7"/>
          </w:tcPr>
          <w:p>
            <w:pPr>
              <w:spacing w:after="0"/>
              <w:rPr>
                <w:sz w:val="17"/>
                <w:szCs w:val="17"/>
                <w:color w:val="auto"/>
              </w:rPr>
            </w:pPr>
          </w:p>
        </w:tc>
        <w:tc>
          <w:tcPr>
            <w:tcW w:w="900" w:type="dxa"/>
            <w:vAlign w:val="bottom"/>
            <w:shd w:val="clear" w:color="auto" w:fill="EEF2F7"/>
          </w:tcPr>
          <w:p>
            <w:pPr>
              <w:spacing w:after="0"/>
              <w:rPr>
                <w:sz w:val="17"/>
                <w:szCs w:val="17"/>
                <w:color w:val="auto"/>
              </w:rPr>
            </w:pPr>
          </w:p>
        </w:tc>
        <w:tc>
          <w:tcPr>
            <w:tcW w:w="20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940" w:type="dxa"/>
            <w:vAlign w:val="bottom"/>
            <w:shd w:val="clear" w:color="auto" w:fill="EEF2F7"/>
          </w:tcPr>
          <w:p>
            <w:pPr>
              <w:spacing w:after="0"/>
              <w:rPr>
                <w:sz w:val="17"/>
                <w:szCs w:val="17"/>
                <w:color w:val="auto"/>
              </w:rPr>
            </w:pPr>
          </w:p>
        </w:tc>
        <w:tc>
          <w:tcPr>
            <w:tcW w:w="220" w:type="dxa"/>
            <w:vAlign w:val="bottom"/>
            <w:shd w:val="clear" w:color="auto" w:fill="EEF2F7"/>
          </w:tcPr>
          <w:p>
            <w:pPr>
              <w:spacing w:after="0"/>
              <w:rPr>
                <w:sz w:val="17"/>
                <w:szCs w:val="17"/>
                <w:color w:val="auto"/>
              </w:rPr>
            </w:pPr>
          </w:p>
        </w:tc>
        <w:tc>
          <w:tcPr>
            <w:tcW w:w="800" w:type="dxa"/>
            <w:vAlign w:val="bottom"/>
            <w:shd w:val="clear" w:color="auto" w:fill="EEF2F7"/>
          </w:tcPr>
          <w:p>
            <w:pPr>
              <w:spacing w:after="0"/>
              <w:rPr>
                <w:sz w:val="17"/>
                <w:szCs w:val="17"/>
                <w:color w:val="auto"/>
              </w:rPr>
            </w:pPr>
          </w:p>
        </w:tc>
        <w:tc>
          <w:tcPr>
            <w:tcW w:w="240" w:type="dxa"/>
            <w:vAlign w:val="bottom"/>
            <w:shd w:val="clear" w:color="auto" w:fill="EEF2F7"/>
          </w:tcPr>
          <w:p>
            <w:pPr>
              <w:spacing w:after="0"/>
              <w:rPr>
                <w:sz w:val="17"/>
                <w:szCs w:val="17"/>
                <w:color w:val="auto"/>
              </w:rPr>
            </w:pPr>
          </w:p>
        </w:tc>
        <w:tc>
          <w:tcPr>
            <w:tcW w:w="220" w:type="dxa"/>
            <w:vAlign w:val="bottom"/>
            <w:shd w:val="clear" w:color="auto" w:fill="EEF2F7"/>
          </w:tcPr>
          <w:p>
            <w:pPr>
              <w:spacing w:after="0"/>
              <w:rPr>
                <w:sz w:val="17"/>
                <w:szCs w:val="17"/>
                <w:color w:val="auto"/>
              </w:rPr>
            </w:pPr>
          </w:p>
        </w:tc>
        <w:tc>
          <w:tcPr>
            <w:tcW w:w="220" w:type="dxa"/>
            <w:vAlign w:val="bottom"/>
            <w:shd w:val="clear" w:color="auto" w:fill="EEF2F7"/>
          </w:tcPr>
          <w:p>
            <w:pPr>
              <w:spacing w:after="0"/>
              <w:rPr>
                <w:sz w:val="17"/>
                <w:szCs w:val="17"/>
                <w:color w:val="auto"/>
              </w:rPr>
            </w:pPr>
          </w:p>
        </w:tc>
        <w:tc>
          <w:tcPr>
            <w:tcW w:w="82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160" w:type="dxa"/>
            <w:vAlign w:val="bottom"/>
          </w:tcPr>
          <w:p>
            <w:pPr>
              <w:ind w:left="80"/>
              <w:spacing w:after="0" w:line="202" w:lineRule="exact"/>
              <w:rPr>
                <w:sz w:val="20"/>
                <w:szCs w:val="20"/>
                <w:color w:val="auto"/>
              </w:rPr>
            </w:pPr>
            <w:r>
              <w:rPr>
                <w:rFonts w:ascii="Arial" w:cs="Arial" w:eastAsia="Arial" w:hAnsi="Arial"/>
                <w:sz w:val="18"/>
                <w:szCs w:val="18"/>
                <w:color w:val="auto"/>
              </w:rPr>
              <w:t>Mutual funds</w:t>
            </w:r>
          </w:p>
        </w:tc>
        <w:tc>
          <w:tcPr>
            <w:tcW w:w="2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85,793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760"/>
              <w:spacing w:after="0" w:line="202" w:lineRule="exact"/>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85,793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16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85,793</w:t>
            </w:r>
          </w:p>
        </w:tc>
        <w:tc>
          <w:tcPr>
            <w:tcW w:w="300" w:type="dxa"/>
            <w:vAlign w:val="bottom"/>
            <w:gridSpan w:val="2"/>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EEF2F7"/>
          </w:tcPr>
          <w:p>
            <w:pPr>
              <w:ind w:left="760"/>
              <w:spacing w:after="0" w:line="196" w:lineRule="exact"/>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EEF2F7"/>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EEF2F7"/>
          </w:tcPr>
          <w:p>
            <w:pPr>
              <w:ind w:left="60"/>
              <w:spacing w:after="0" w:line="196" w:lineRule="exact"/>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EEF2F7"/>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85,793</w:t>
            </w:r>
          </w:p>
        </w:tc>
        <w:tc>
          <w:tcPr>
            <w:tcW w:w="100" w:type="dxa"/>
            <w:vAlign w:val="bottom"/>
            <w:shd w:val="clear" w:color="auto" w:fill="EEF2F7"/>
          </w:tcPr>
          <w:p>
            <w:pPr>
              <w:spacing w:after="0"/>
              <w:rPr>
                <w:sz w:val="20"/>
                <w:szCs w:val="20"/>
                <w:color w:val="auto"/>
              </w:rPr>
            </w:pPr>
          </w:p>
        </w:tc>
        <w:tc>
          <w:tcPr>
            <w:tcW w:w="560" w:type="dxa"/>
            <w:vAlign w:val="bottom"/>
          </w:tcPr>
          <w:p>
            <w:pPr>
              <w:spacing w:after="0"/>
              <w:rPr>
                <w:sz w:val="20"/>
                <w:szCs w:val="20"/>
                <w:color w:val="auto"/>
              </w:rPr>
            </w:pPr>
          </w:p>
        </w:tc>
      </w:tr>
      <w:tr>
        <w:trPr>
          <w:trHeight w:val="632"/>
        </w:trPr>
        <w:tc>
          <w:tcPr>
            <w:tcW w:w="580" w:type="dxa"/>
            <w:vAlign w:val="bottom"/>
          </w:tcPr>
          <w:p>
            <w:pPr>
              <w:spacing w:after="0"/>
              <w:rPr>
                <w:sz w:val="24"/>
                <w:szCs w:val="24"/>
                <w:color w:val="auto"/>
              </w:rPr>
            </w:pPr>
          </w:p>
        </w:tc>
        <w:tc>
          <w:tcPr>
            <w:tcW w:w="3160" w:type="dxa"/>
            <w:vAlign w:val="bottom"/>
            <w:tcBorders>
              <w:top w:val="single" w:sz="8" w:color="EEF2F7"/>
            </w:tcBorders>
          </w:tcPr>
          <w:p>
            <w:pPr>
              <w:spacing w:after="0"/>
              <w:rPr>
                <w:sz w:val="24"/>
                <w:szCs w:val="24"/>
                <w:color w:val="auto"/>
              </w:rPr>
            </w:pPr>
          </w:p>
        </w:tc>
        <w:tc>
          <w:tcPr>
            <w:tcW w:w="2040" w:type="dxa"/>
            <w:vAlign w:val="bottom"/>
            <w:tcBorders>
              <w:top w:val="single" w:sz="8" w:color="EEF2F7"/>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EEF2F7"/>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EEF2F7"/>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EEF2F7"/>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EEF2F7"/>
            </w:tcBorders>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-2416810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-2399665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-2416810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-2399665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-2416810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-2399665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-2416810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-2399665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-925195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-908050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-925195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-908050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-925195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-908050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6. Property and Equipment,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002D"/>
        </w:rPr>
        <w:t>As of March 31, 2026 and December 31, 2025, property and equipment, net consisted of the following:</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r>
      <w:tr>
        <w:trPr>
          <w:trHeight w:val="162"/>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gridSpan w:val="5"/>
          </w:tcPr>
          <w:p>
            <w:pPr>
              <w:jc w:val="right"/>
              <w:ind w:right="900"/>
              <w:spacing w:after="0" w:line="155" w:lineRule="exact"/>
              <w:rPr>
                <w:sz w:val="20"/>
                <w:szCs w:val="20"/>
                <w:color w:val="auto"/>
              </w:rPr>
            </w:pPr>
            <w:r>
              <w:rPr>
                <w:rFonts w:ascii="Arial" w:cs="Arial" w:eastAsia="Arial" w:hAnsi="Arial"/>
                <w:sz w:val="14"/>
                <w:szCs w:val="14"/>
                <w:b w:val="1"/>
                <w:bCs w:val="1"/>
                <w:color w:val="auto"/>
              </w:rPr>
              <w:t>(dollars in thousands)</w:t>
            </w: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Capitalized equipment</w:t>
            </w:r>
          </w:p>
        </w:tc>
        <w:tc>
          <w:tcPr>
            <w:tcW w:w="240" w:type="dxa"/>
            <w:vAlign w:val="bottom"/>
            <w:shd w:val="clear" w:color="auto" w:fill="EEF2F7"/>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7,428</w:t>
            </w:r>
          </w:p>
        </w:tc>
        <w:tc>
          <w:tcPr>
            <w:tcW w:w="260" w:type="dxa"/>
            <w:vAlign w:val="bottom"/>
            <w:shd w:val="clear" w:color="auto" w:fill="EEF2F7"/>
          </w:tcPr>
          <w:p>
            <w:pPr>
              <w:spacing w:after="0"/>
              <w:rPr>
                <w:sz w:val="17"/>
                <w:szCs w:val="17"/>
                <w:color w:val="auto"/>
              </w:rPr>
            </w:pPr>
          </w:p>
        </w:tc>
        <w:tc>
          <w:tcPr>
            <w:tcW w:w="1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7,445</w:t>
            </w:r>
          </w:p>
        </w:tc>
        <w:tc>
          <w:tcPr>
            <w:tcW w:w="100" w:type="dxa"/>
            <w:vAlign w:val="bottom"/>
            <w:shd w:val="clear" w:color="auto" w:fill="EEF2F7"/>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23,156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22,701</w:t>
            </w:r>
          </w:p>
        </w:tc>
        <w:tc>
          <w:tcPr>
            <w:tcW w:w="100" w:type="dxa"/>
            <w:vAlign w:val="bottom"/>
          </w:tcPr>
          <w:p>
            <w:pPr>
              <w:spacing w:after="0"/>
              <w:rPr>
                <w:sz w:val="17"/>
                <w:szCs w:val="17"/>
                <w:color w:val="auto"/>
              </w:rPr>
            </w:pP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Capitalized website development</w:t>
            </w:r>
          </w:p>
        </w:tc>
        <w:tc>
          <w:tcPr>
            <w:tcW w:w="240" w:type="dxa"/>
            <w:vAlign w:val="bottom"/>
            <w:shd w:val="clear" w:color="auto" w:fill="EEF2F7"/>
          </w:tcPr>
          <w:p>
            <w:pPr>
              <w:spacing w:after="0"/>
              <w:rPr>
                <w:sz w:val="17"/>
                <w:szCs w:val="17"/>
                <w:color w:val="auto"/>
              </w:rPr>
            </w:pPr>
          </w:p>
        </w:tc>
        <w:tc>
          <w:tcPr>
            <w:tcW w:w="1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73,823</w:t>
            </w:r>
          </w:p>
        </w:tc>
        <w:tc>
          <w:tcPr>
            <w:tcW w:w="260" w:type="dxa"/>
            <w:vAlign w:val="bottom"/>
            <w:shd w:val="clear" w:color="auto" w:fill="EEF2F7"/>
          </w:tcPr>
          <w:p>
            <w:pPr>
              <w:spacing w:after="0"/>
              <w:rPr>
                <w:sz w:val="17"/>
                <w:szCs w:val="17"/>
                <w:color w:val="auto"/>
              </w:rPr>
            </w:pPr>
          </w:p>
        </w:tc>
        <w:tc>
          <w:tcPr>
            <w:tcW w:w="160" w:type="dxa"/>
            <w:vAlign w:val="bottom"/>
            <w:shd w:val="clear" w:color="auto" w:fill="EEF2F7"/>
          </w:tcPr>
          <w:p>
            <w:pPr>
              <w:spacing w:after="0"/>
              <w:rPr>
                <w:sz w:val="17"/>
                <w:szCs w:val="17"/>
                <w:color w:val="auto"/>
              </w:rPr>
            </w:pPr>
          </w:p>
        </w:tc>
        <w:tc>
          <w:tcPr>
            <w:tcW w:w="12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66,355</w:t>
            </w:r>
          </w:p>
        </w:tc>
        <w:tc>
          <w:tcPr>
            <w:tcW w:w="100" w:type="dxa"/>
            <w:vAlign w:val="bottom"/>
            <w:shd w:val="clear" w:color="auto" w:fill="EEF2F7"/>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8,068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10,294</w:t>
            </w:r>
          </w:p>
        </w:tc>
        <w:tc>
          <w:tcPr>
            <w:tcW w:w="100" w:type="dxa"/>
            <w:vAlign w:val="bottom"/>
          </w:tcPr>
          <w:p>
            <w:pPr>
              <w:spacing w:after="0"/>
              <w:rPr>
                <w:sz w:val="17"/>
                <w:szCs w:val="17"/>
                <w:color w:val="auto"/>
              </w:rPr>
            </w:pPr>
          </w:p>
        </w:tc>
      </w:tr>
      <w:tr>
        <w:trPr>
          <w:trHeight w:val="203"/>
        </w:trPr>
        <w:tc>
          <w:tcPr>
            <w:tcW w:w="6900" w:type="dxa"/>
            <w:vAlign w:val="bottom"/>
            <w:tcBorders>
              <w:bottom w:val="single" w:sz="8" w:color="EEF2F7"/>
            </w:tcBorders>
            <w:shd w:val="clear" w:color="auto" w:fill="EEF2F7"/>
          </w:tcPr>
          <w:p>
            <w:pPr>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EEF2F7"/>
          </w:tcPr>
          <w:p>
            <w:pPr>
              <w:spacing w:after="0"/>
              <w:rPr>
                <w:sz w:val="17"/>
                <w:szCs w:val="17"/>
                <w:color w:val="auto"/>
              </w:rPr>
            </w:pPr>
          </w:p>
        </w:tc>
        <w:tc>
          <w:tcPr>
            <w:tcW w:w="118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77,460</w:t>
            </w:r>
          </w:p>
        </w:tc>
        <w:tc>
          <w:tcPr>
            <w:tcW w:w="260" w:type="dxa"/>
            <w:vAlign w:val="bottom"/>
            <w:tcBorders>
              <w:bottom w:val="single" w:sz="8" w:color="EEF2F7"/>
            </w:tcBorders>
            <w:shd w:val="clear" w:color="auto" w:fill="EEF2F7"/>
          </w:tcPr>
          <w:p>
            <w:pPr>
              <w:spacing w:after="0"/>
              <w:rPr>
                <w:sz w:val="17"/>
                <w:szCs w:val="17"/>
                <w:color w:val="auto"/>
              </w:rPr>
            </w:pPr>
          </w:p>
        </w:tc>
        <w:tc>
          <w:tcPr>
            <w:tcW w:w="160" w:type="dxa"/>
            <w:vAlign w:val="bottom"/>
            <w:tcBorders>
              <w:bottom w:val="single" w:sz="8" w:color="auto"/>
            </w:tcBorders>
            <w:shd w:val="clear" w:color="auto" w:fill="EEF2F7"/>
          </w:tcPr>
          <w:p>
            <w:pPr>
              <w:spacing w:after="0"/>
              <w:rPr>
                <w:sz w:val="17"/>
                <w:szCs w:val="17"/>
                <w:color w:val="auto"/>
              </w:rPr>
            </w:pPr>
          </w:p>
        </w:tc>
        <w:tc>
          <w:tcPr>
            <w:tcW w:w="126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86,127</w:t>
            </w:r>
          </w:p>
        </w:tc>
        <w:tc>
          <w:tcPr>
            <w:tcW w:w="100" w:type="dxa"/>
            <w:vAlign w:val="bottom"/>
            <w:tcBorders>
              <w:bottom w:val="single" w:sz="8" w:color="EEF2F7"/>
            </w:tcBorders>
            <w:shd w:val="clear" w:color="auto" w:fill="EEF2F7"/>
          </w:tcPr>
          <w:p>
            <w:pPr>
              <w:spacing w:after="0"/>
              <w:rPr>
                <w:sz w:val="17"/>
                <w:szCs w:val="17"/>
                <w:color w:val="auto"/>
              </w:rPr>
            </w:pPr>
          </w:p>
        </w:tc>
      </w:tr>
      <w:tr>
        <w:trPr>
          <w:trHeight w:val="196"/>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189,935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192,922</w:t>
            </w:r>
          </w:p>
        </w:tc>
        <w:tc>
          <w:tcPr>
            <w:tcW w:w="100" w:type="dxa"/>
            <w:vAlign w:val="bottom"/>
          </w:tcPr>
          <w:p>
            <w:pPr>
              <w:spacing w:after="0"/>
              <w:rPr>
                <w:sz w:val="17"/>
                <w:szCs w:val="17"/>
                <w:color w:val="auto"/>
              </w:rPr>
            </w:pP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EEF2F7"/>
          </w:tcPr>
          <w:p>
            <w:pPr>
              <w:spacing w:after="0"/>
              <w:rPr>
                <w:sz w:val="17"/>
                <w:szCs w:val="17"/>
                <w:color w:val="auto"/>
              </w:rPr>
            </w:pPr>
          </w:p>
        </w:tc>
        <w:tc>
          <w:tcPr>
            <w:tcW w:w="1440" w:type="dxa"/>
            <w:vAlign w:val="bottom"/>
            <w:gridSpan w:val="2"/>
            <w:shd w:val="clear" w:color="auto" w:fill="EEF2F7"/>
          </w:tcPr>
          <w:p>
            <w:pPr>
              <w:jc w:val="right"/>
              <w:ind w:right="200"/>
              <w:spacing w:after="0" w:line="202" w:lineRule="exact"/>
              <w:rPr>
                <w:sz w:val="20"/>
                <w:szCs w:val="20"/>
                <w:color w:val="auto"/>
              </w:rPr>
            </w:pPr>
            <w:r>
              <w:rPr>
                <w:rFonts w:ascii="Arial" w:cs="Arial" w:eastAsia="Arial" w:hAnsi="Arial"/>
                <w:sz w:val="18"/>
                <w:szCs w:val="18"/>
                <w:color w:val="auto"/>
              </w:rPr>
              <w:t>(60,400)</w:t>
            </w:r>
          </w:p>
        </w:tc>
        <w:tc>
          <w:tcPr>
            <w:tcW w:w="160" w:type="dxa"/>
            <w:vAlign w:val="bottom"/>
            <w:shd w:val="clear" w:color="auto" w:fill="EEF2F7"/>
          </w:tcPr>
          <w:p>
            <w:pPr>
              <w:spacing w:after="0"/>
              <w:rPr>
                <w:sz w:val="17"/>
                <w:szCs w:val="17"/>
                <w:color w:val="auto"/>
              </w:rPr>
            </w:pPr>
          </w:p>
        </w:tc>
        <w:tc>
          <w:tcPr>
            <w:tcW w:w="136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(59,970)</w:t>
            </w:r>
          </w:p>
        </w:tc>
      </w:tr>
      <w:tr>
        <w:trPr>
          <w:trHeight w:val="196"/>
        </w:trPr>
        <w:tc>
          <w:tcPr>
            <w:tcW w:w="6900" w:type="dxa"/>
            <w:vAlign w:val="bottom"/>
            <w:tcBorders>
              <w:top w:val="single" w:sz="8" w:color="EEF2F7"/>
            </w:tcBorders>
          </w:tcPr>
          <w:p>
            <w:pPr>
              <w:ind w:left="1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129,535</w:t>
            </w:r>
          </w:p>
        </w:tc>
        <w:tc>
          <w:tcPr>
            <w:tcW w:w="260" w:type="dxa"/>
            <w:vAlign w:val="bottom"/>
            <w:tcBorders>
              <w:top w:val="single" w:sz="8" w:color="EEF2F7"/>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132,952</w:t>
            </w:r>
          </w:p>
        </w:tc>
        <w:tc>
          <w:tcPr>
            <w:tcW w:w="100" w:type="dxa"/>
            <w:vAlign w:val="bottom"/>
            <w:tcBorders>
              <w:top w:val="single" w:sz="8" w:color="EEF2F7"/>
            </w:tcBorders>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-427990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-427990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-162560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the three months ended March 31, 2026 and 2025, depreciation and amortization expense, excluding amortization of intangible assets, amortization of capitalized hosting arrangements, disposals, write offs, and impairments, was $6.9 million, and $5.4 million, respectively.</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During the three months ended March 31, 2026, the Company impaired $0.5 million of capitalized website development costs within cost of revenue in the Unaudited Condensed Consolidated Income Statements related to certain developed technology that the Company decided to cease investment.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During the three months ended March 31, 2026, as a result of the impairment for the 121 First Street lease, the Company impaired $4.5 million of leasehold improvements and furniture and fixtures. For further discussion of the lease impairment, refer to Note 9 of these Unaudited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7. Accrued Expenses, Accrued Income Taxes, and Other Current Liabilities</w:t>
      </w:r>
    </w:p>
    <w:p>
      <w:pPr>
        <w:spacing w:after="0" w:line="2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As of March 31, 2026 and December 31, 2025, accrued expenses, accrued income taxes, and other current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20" w:type="dxa"/>
            <w:vAlign w:val="bottom"/>
            <w:gridSpan w:val="6"/>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Accrued bonus</w:t>
            </w:r>
          </w:p>
        </w:tc>
        <w:tc>
          <w:tcPr>
            <w:tcW w:w="240" w:type="dxa"/>
            <w:vAlign w:val="bottom"/>
            <w:shd w:val="clear" w:color="auto" w:fill="EEF2F7"/>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5,562</w:t>
            </w:r>
          </w:p>
        </w:tc>
        <w:tc>
          <w:tcPr>
            <w:tcW w:w="420" w:type="dxa"/>
            <w:vAlign w:val="bottom"/>
            <w:gridSpan w:val="2"/>
            <w:shd w:val="clear" w:color="auto" w:fill="EEF2F7"/>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13,751</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Accrued commissions</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4,679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5,749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00" w:type="dxa"/>
            <w:vAlign w:val="bottom"/>
            <w:tcBorders>
              <w:bottom w:val="single" w:sz="8" w:color="EEF2F7"/>
            </w:tcBorders>
            <w:shd w:val="clear" w:color="auto" w:fill="EEF2F7"/>
          </w:tcPr>
          <w:p>
            <w:pPr>
              <w:spacing w:after="0" w:line="202" w:lineRule="exact"/>
              <w:rPr>
                <w:sz w:val="20"/>
                <w:szCs w:val="20"/>
                <w:color w:val="auto"/>
              </w:rPr>
            </w:pPr>
            <w:r>
              <w:rPr>
                <w:rFonts w:ascii="Arial" w:cs="Arial" w:eastAsia="Arial" w:hAnsi="Arial"/>
                <w:sz w:val="18"/>
                <w:szCs w:val="18"/>
                <w:color w:val="auto"/>
              </w:rPr>
              <w:t>Other accrued expenses, accrued income taxes, and other current liabilities</w:t>
            </w:r>
          </w:p>
        </w:tc>
        <w:tc>
          <w:tcPr>
            <w:tcW w:w="240" w:type="dxa"/>
            <w:vAlign w:val="bottom"/>
            <w:tcBorders>
              <w:bottom w:val="single" w:sz="8" w:color="auto"/>
            </w:tcBorders>
            <w:shd w:val="clear" w:color="auto" w:fill="EEF2F7"/>
          </w:tcPr>
          <w:p>
            <w:pPr>
              <w:spacing w:after="0"/>
              <w:rPr>
                <w:sz w:val="17"/>
                <w:szCs w:val="17"/>
                <w:color w:val="auto"/>
              </w:rPr>
            </w:pPr>
          </w:p>
        </w:tc>
        <w:tc>
          <w:tcPr>
            <w:tcW w:w="118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22,743</w:t>
            </w:r>
          </w:p>
        </w:tc>
        <w:tc>
          <w:tcPr>
            <w:tcW w:w="260" w:type="dxa"/>
            <w:vAlign w:val="bottom"/>
            <w:tcBorders>
              <w:bottom w:val="single" w:sz="8" w:color="EEF2F7"/>
            </w:tcBorders>
            <w:shd w:val="clear" w:color="auto" w:fill="EEF2F7"/>
          </w:tcPr>
          <w:p>
            <w:pPr>
              <w:spacing w:after="0"/>
              <w:rPr>
                <w:sz w:val="17"/>
                <w:szCs w:val="17"/>
                <w:color w:val="auto"/>
              </w:rPr>
            </w:pPr>
          </w:p>
        </w:tc>
        <w:tc>
          <w:tcPr>
            <w:tcW w:w="160" w:type="dxa"/>
            <w:vAlign w:val="bottom"/>
            <w:tcBorders>
              <w:bottom w:val="single" w:sz="8" w:color="auto"/>
            </w:tcBorders>
            <w:shd w:val="clear" w:color="auto" w:fill="EEF2F7"/>
          </w:tcPr>
          <w:p>
            <w:pPr>
              <w:spacing w:after="0"/>
              <w:rPr>
                <w:sz w:val="17"/>
                <w:szCs w:val="17"/>
                <w:color w:val="auto"/>
              </w:rPr>
            </w:pPr>
          </w:p>
        </w:tc>
        <w:tc>
          <w:tcPr>
            <w:tcW w:w="126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18,893</w:t>
            </w:r>
          </w:p>
        </w:tc>
        <w:tc>
          <w:tcPr>
            <w:tcW w:w="100" w:type="dxa"/>
            <w:vAlign w:val="bottom"/>
            <w:tcBorders>
              <w:bottom w:val="single" w:sz="8" w:color="EEF2F7"/>
            </w:tcBorders>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90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32,984</w:t>
            </w:r>
          </w:p>
        </w:tc>
        <w:tc>
          <w:tcPr>
            <w:tcW w:w="4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38,393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67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74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-1199515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8.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002D"/>
        </w:rPr>
        <w:t>As of March 31, 2026 and December 31, 2025, the Company had no long-term debt outstanding.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Revolving Credit Facility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On September 26, 2022, the Company entered into a Credit Agreement with PNC Bank, National Association, as administrative agent and collateral agent and an L/C Issuer (as defined in the Credit Agreement), and the other lenders, L/C Issuers, and parties thereto from time to time (the “Credit Agreement”). The Credit Agreement consists of a revolving credit facility (the “2022 Revolver”), which allows the Company to borrow up to $400.0 million, $50.0 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March 31, 2026.</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As of March 31, 2026 and December 31, 2025, there were no borrowings and $9.4 million in letters of credit outstanding under the 2022 Revolver Sub-facility associated with the Company’s leases, which reduced the borrowing capacity under the 2022 Revolver to $390.6 million. During the year ended December 31, 2025, $0.5 million in letters of credit outstanding under the 2022 Revolver Sub-facility, related to the Company’s previous Cambridge lease, expired.</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As of March 31, 2026 and December 31, 2025, deferred financing costs were $0.8 million and $0.9 million, respectively, recognized within other non-current assets in the Unaudited Condensed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0002D"/>
        </w:rPr>
        <w:t>For the three months ended March 31, 2026 and 2025, amortization expense associated with deferred financing costs was immaterial.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0002D"/>
        </w:rPr>
        <w:t>For the three months ended March 31, 2026 and 2025, commitment fees under the 2022 Revolver were immaterial.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9. 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Contractual Obligations and Commitments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As of March 31, 2026, all of the Company’s property and equipment and capitalized hosting arrangements have been purchased with cash with the exception of unpaid amounts as disclosed in the Unaudited Condensed Consolidated Statements of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Leases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As of March 31, 2026, there were no material changes in the Company’s leases from those disclosed in the Annual Report, other than those disclosed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465B0"/>
        </w:rPr>
        <w:t>121 First Street Lease Impairment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During the three months ended March 31, 2026, the Company identified a triggering event requiring an impairment test for the 121 First Street lease, which it intends to sublease, primarily due to lower anticipated rental recovery rates. The Company assessed the asset group for recoverability, and determined the asset group was not recoverable. Therefore, the Company estimated the fair value of the asset group to compare to the carrying value for impairment.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 xml:space="preserve">The Company estimated fair value using the discounted cash flow method, with key inputs including the selected market rental rates based upon similar office spaces, the discount rate, and other estimated costs. The fair value measurement was categorized as Level 3 within the fair value hierarchy as there were significant unobservable inputs utilized in the valuation technique. </w:t>
      </w:r>
      <w:r>
        <w:rPr>
          <w:rFonts w:ascii="Arial" w:cs="Arial" w:eastAsia="Arial" w:hAnsi="Arial"/>
          <w:sz w:val="18"/>
          <w:szCs w:val="18"/>
          <w:color w:val="000000"/>
        </w:rPr>
        <w:t>As a result, the Company recognized an</w:t>
      </w:r>
      <w:r>
        <w:rPr>
          <w:rFonts w:ascii="Arial" w:cs="Arial" w:eastAsia="Arial" w:hAnsi="Arial"/>
          <w:sz w:val="18"/>
          <w:szCs w:val="18"/>
          <w:color w:val="00002D"/>
        </w:rPr>
        <w:t xml:space="preserve"> </w:t>
      </w:r>
      <w:r>
        <w:rPr>
          <w:rFonts w:ascii="Arial" w:cs="Arial" w:eastAsia="Arial" w:hAnsi="Arial"/>
          <w:sz w:val="18"/>
          <w:szCs w:val="18"/>
          <w:color w:val="000000"/>
        </w:rPr>
        <w:t>impairment of the 121 First Street lease to reduce the carrying value to fair value.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the Company recognized non-cash impairment charges of $14.7 million related to operating lease right-of-use asset and $4.5 million related to leasehold improvements and furniture and fixtures, which were recognized within impairment operating expenses in the Unaudited Condensed Consolidated Income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Letters of Credit</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As of March 31, 2026 and December 31, 2025, $9.4 million in letters of credit associated with the Company’s leases were included under the 2022 Revolver Sub-facility.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Tax Contingencies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The Company is subject to taxation in the U.S. and certain other jurisdictions in which it operates, which could include corporate income tax, sales and use tax, value added tax, excise tax, gross receipts tax, and property tax. State, local, and foreign jurisdictions have differing rules and regulations governing corporate income, sales, use, value added, and other taxes. These rules and regulations are complex and subject to varying interpretations that may change over time due to new court interpretations and newly enacted rules and regulations. As a result, the Company could face the possibility of tax assessments and audits, and its liability for these taxes and associated penalties could exceed its original estimates, which could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Legal Matters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10. Stock-based Compensation and Common Stock Share Repurchases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Stock-based Compensation Expense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the three months ended March 31, 2026 and 2025, stock-based compensation expense, consisting primarily of restricted stock units, was recognized in the Unaudited Condensed Consolidated Income Statements was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9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gridSpan w:val="5"/>
          </w:tcPr>
          <w:p>
            <w:pPr>
              <w:jc w:val="center"/>
              <w:ind w:right="420"/>
              <w:spacing w:after="0" w:line="155" w:lineRule="exact"/>
              <w:rPr>
                <w:sz w:val="20"/>
                <w:szCs w:val="20"/>
                <w:color w:val="auto"/>
              </w:rPr>
            </w:pPr>
            <w:r>
              <w:rPr>
                <w:rFonts w:ascii="Arial" w:cs="Arial" w:eastAsia="Arial" w:hAnsi="Arial"/>
                <w:sz w:val="14"/>
                <w:szCs w:val="14"/>
                <w:b w:val="1"/>
                <w:bCs w:val="1"/>
                <w:color w:val="auto"/>
              </w:rPr>
              <w:t>(dollars in thousands)</w:t>
            </w:r>
          </w:p>
        </w:tc>
      </w:tr>
      <w:tr>
        <w:trPr>
          <w:trHeight w:val="202"/>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shd w:val="clear" w:color="auto" w:fill="EEF2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59</w:t>
            </w:r>
          </w:p>
        </w:tc>
        <w:tc>
          <w:tcPr>
            <w:tcW w:w="640" w:type="dxa"/>
            <w:vAlign w:val="bottom"/>
            <w:gridSpan w:val="2"/>
            <w:shd w:val="clear" w:color="auto" w:fill="EEF2F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EEF2F7"/>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2,931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2,725</w:t>
            </w:r>
          </w:p>
        </w:tc>
        <w:tc>
          <w:tcPr>
            <w:tcW w:w="100" w:type="dxa"/>
            <w:vAlign w:val="bottom"/>
          </w:tcPr>
          <w:p>
            <w:pPr>
              <w:spacing w:after="0"/>
              <w:rPr>
                <w:sz w:val="17"/>
                <w:szCs w:val="17"/>
                <w:color w:val="auto"/>
              </w:rPr>
            </w:pP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Product, technology, and development expense</w:t>
            </w: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5,501</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5,502</w:t>
            </w:r>
          </w:p>
        </w:tc>
        <w:tc>
          <w:tcPr>
            <w:tcW w:w="100" w:type="dxa"/>
            <w:vAlign w:val="bottom"/>
            <w:shd w:val="clear" w:color="auto" w:fill="EEF2F7"/>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4,781</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4,089</w:t>
            </w:r>
          </w:p>
        </w:tc>
        <w:tc>
          <w:tcPr>
            <w:tcW w:w="100" w:type="dxa"/>
            <w:vAlign w:val="bottom"/>
          </w:tcPr>
          <w:p>
            <w:pPr>
              <w:spacing w:after="0"/>
              <w:rPr>
                <w:sz w:val="17"/>
                <w:szCs w:val="17"/>
                <w:color w:val="auto"/>
              </w:rPr>
            </w:pPr>
          </w:p>
        </w:tc>
      </w:tr>
      <w:tr>
        <w:trPr>
          <w:trHeight w:val="196"/>
        </w:trPr>
        <w:tc>
          <w:tcPr>
            <w:tcW w:w="69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Total stock-based compensation expense from continuing operations</w:t>
            </w: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13,272</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12,383</w:t>
            </w:r>
          </w:p>
        </w:tc>
        <w:tc>
          <w:tcPr>
            <w:tcW w:w="100" w:type="dxa"/>
            <w:vAlign w:val="bottom"/>
            <w:shd w:val="clear" w:color="auto" w:fill="EEF2F7"/>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Total stock-based compensation expense from discontinued operations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w:t>
            </w:r>
          </w:p>
        </w:tc>
        <w:tc>
          <w:tcPr>
            <w:tcW w:w="100" w:type="dxa"/>
            <w:vAlign w:val="bottom"/>
          </w:tcPr>
          <w:p>
            <w:pPr>
              <w:spacing w:after="0"/>
              <w:rPr>
                <w:sz w:val="17"/>
                <w:szCs w:val="17"/>
                <w:color w:val="auto"/>
              </w:rPr>
            </w:pPr>
          </w:p>
        </w:tc>
      </w:tr>
      <w:tr>
        <w:trPr>
          <w:trHeight w:val="236"/>
        </w:trPr>
        <w:tc>
          <w:tcPr>
            <w:tcW w:w="6900" w:type="dxa"/>
            <w:vAlign w:val="bottom"/>
            <w:tcBorders>
              <w:bottom w:val="single" w:sz="8" w:color="EEF2F7"/>
            </w:tcBorders>
            <w:shd w:val="clear" w:color="auto" w:fill="EEF2F7"/>
          </w:tcPr>
          <w:p>
            <w:pPr>
              <w:ind w:left="12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EF2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13,272</w:t>
            </w:r>
          </w:p>
        </w:tc>
        <w:tc>
          <w:tcPr>
            <w:tcW w:w="260" w:type="dxa"/>
            <w:vAlign w:val="bottom"/>
            <w:tcBorders>
              <w:bottom w:val="single" w:sz="8" w:color="EEF2F7"/>
            </w:tcBorders>
            <w:shd w:val="clear" w:color="auto" w:fill="EEF2F7"/>
          </w:tcPr>
          <w:p>
            <w:pPr>
              <w:spacing w:after="0"/>
              <w:rPr>
                <w:sz w:val="20"/>
                <w:szCs w:val="20"/>
                <w:color w:val="auto"/>
              </w:rPr>
            </w:pPr>
          </w:p>
        </w:tc>
        <w:tc>
          <w:tcPr>
            <w:tcW w:w="380" w:type="dxa"/>
            <w:vAlign w:val="bottom"/>
            <w:tcBorders>
              <w:bottom w:val="single" w:sz="8" w:color="auto"/>
            </w:tcBorders>
            <w:shd w:val="clear" w:color="auto" w:fill="EEF2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12,900</w:t>
            </w:r>
          </w:p>
        </w:tc>
        <w:tc>
          <w:tcPr>
            <w:tcW w:w="100" w:type="dxa"/>
            <w:vAlign w:val="bottom"/>
            <w:tcBorders>
              <w:bottom w:val="single" w:sz="8" w:color="EEF2F7"/>
            </w:tcBorders>
            <w:shd w:val="clear" w:color="auto" w:fill="EEF2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the three months ended March 31, 2026 and 2025, consolidated stock-based compensation expense excluded $1.5 million and $1.6 million, respectively, of capitalized website development costs, capitalized internal-use software costs, and capitalized hosting arrangements.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Common Stock Share Repurchase Programs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In February 2026 the Company announced that the Board authorized a program pursuant to which it may purchase up to $250.0 million of its Class A common stock (the “2026 Share Repurchase Program”).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2026 Share Repurchase Program does not obligate the Company to repurchase any minimum dollar amount or number of shares. The 2026 Share Repurchase Program has an expiration date of December 31, 2026, and prior to its expiration may be modified, suspended, or discontinued by the Board at any time without prior notice. All repurchased shares under the 2026 Share Repurchase Program will be retired. The Company has funded share repurchases and expects to continue to fund share repurchases under the 2026 Share Repurchase Program through cash on hand and cash generated from operations.</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In November 2024 the Company announced that the Board authorized a program pursuant to which it may purchase up to $200.0 million of its Class A common stock (the “Original 2025 Share Repurchase Program”). In August 2025 the Company announced that the Board amended the Original 2025 Share Repurchase Program to increase the authorization by an additional $150.0 million, for a total authorization to purchase up to $350.0 million of its Class A common stock, and extended the expiration of the Original 2025 Share Repurchase Program from December 31, 2025 to July 31, 2026 (as amended, the “2025 Share Repurchase Program”). The 2025 Share Repurchase Program was completed in November 2025. All repurchased shares under the 2025 Share Repurchase Program were retired.</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During the three months ended March 31, 2026, the Company repurchased and retired 5,341,712 shares of its Class A common stock for $175.0 million, exclusive of commissions and excise tax, at an average cost of $32.76 per share, under the 2026 Share Repurchase Program. As of March 31, 2026, the Company had remaining authorization to purchase up to $75.0 million of its Class A common stock under the 2026 Share Repurchase Program.</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During the three months ended March 31, 2025, the Company repurchased and retired 5,919,435 shares of its Class A common stock for $184.2 million, exclusive of commissions and excise tax, at an average cost of $31.12 per share, under the 2025 Share Repurchase Program. The 2025 Share Repurchase Program was completed in November 2025.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11. Earnings Per Share</w:t>
      </w:r>
    </w:p>
    <w:p>
      <w:pPr>
        <w:spacing w:after="0" w:line="216"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00002D"/>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 The Company allocates undistributed earnings attributable to common stock between the common stock classes on a one</w:t>
      </w:r>
      <w:r>
        <w:rPr>
          <w:rFonts w:ascii="MS PGothic" w:cs="MS PGothic" w:eastAsia="MS PGothic" w:hAnsi="MS PGothic"/>
          <w:sz w:val="18"/>
          <w:szCs w:val="18"/>
          <w:color w:val="00002D"/>
        </w:rPr>
        <w:t>‑</w:t>
      </w:r>
      <w:r>
        <w:rPr>
          <w:rFonts w:ascii="Arial" w:cs="Arial" w:eastAsia="Arial" w:hAnsi="Arial"/>
          <w:sz w:val="18"/>
          <w:szCs w:val="18"/>
          <w:color w:val="00002D"/>
        </w:rPr>
        <w:t>to</w:t>
      </w:r>
      <w:r>
        <w:rPr>
          <w:rFonts w:ascii="MS PGothic" w:cs="MS PGothic" w:eastAsia="MS PGothic" w:hAnsi="MS PGothic"/>
          <w:sz w:val="18"/>
          <w:szCs w:val="18"/>
          <w:color w:val="00002D"/>
        </w:rPr>
        <w:t>‑</w:t>
      </w:r>
      <w:r>
        <w:rPr>
          <w:rFonts w:ascii="Arial" w:cs="Arial" w:eastAsia="Arial" w:hAnsi="Arial"/>
          <w:sz w:val="18"/>
          <w:szCs w:val="18"/>
          <w:color w:val="00002D"/>
        </w:rPr>
        <w:t>one basis when computing net income per share. As a result, basic and diluted net income per share of Class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00002D"/>
        </w:rPr>
        <w:t>common stock and per share of Class B common stock are equivalent.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During the three months ended March 31, 2026, no shares of Class B common stock were converted into Class A common stock. During the three months ended March 31, 2025 and year ended December 31, 2025, 770,495 shares of Class B common stock were converted into Class A common stock.</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Consolidated basic net income per share (“Basic EPS”) is computed by dividing consolidated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Consolidated diluted net income per share (“Diluted EPS”) gives effect to all potentially dilutive securities. Diluted EPS is computed by dividing consolidated net income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RSUs. The dilutive effect of these common stock equivalents is reflected in diluted earnings per share by application of the treasury stock method.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Continuing basic and diluted net income per share and discontinued basic and diluted net income per share are calculated using the same methodology as described above, as applicable. Diluted earnings per share from discontinued operations is calculated using net income from continuing operations to determine the denominator, in accordance with applicable guidance.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For the three months ended March 31, 2026 and 2025, a reconciliation of the numerator and denominator used in the calculation of continuing, discontinued, and consolidated basic and diluted net income (loss) per share was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00" w:type="dxa"/>
            <w:vAlign w:val="bottom"/>
            <w:gridSpan w:val="5"/>
          </w:tcPr>
          <w:p>
            <w:pPr>
              <w:jc w:val="center"/>
              <w:ind w:right="4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32,228</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42,074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Net loss from discontinued operations</w:t>
            </w:r>
          </w:p>
        </w:tc>
        <w:tc>
          <w:tcPr>
            <w:tcW w:w="300" w:type="dxa"/>
            <w:vAlign w:val="bottom"/>
            <w:shd w:val="clear" w:color="auto" w:fill="EEF2F7"/>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EEF2F7"/>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Consolidated net income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32,228</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EEF2F7"/>
          </w:tcPr>
          <w:p>
            <w:pPr>
              <w:spacing w:after="0" w:line="183" w:lineRule="exact"/>
              <w:rPr>
                <w:sz w:val="20"/>
                <w:szCs w:val="20"/>
                <w:color w:val="auto"/>
              </w:rPr>
            </w:pPr>
            <w:r>
              <w:rPr>
                <w:rFonts w:ascii="Arial" w:cs="Arial" w:eastAsia="Arial" w:hAnsi="Arial"/>
                <w:sz w:val="18"/>
                <w:szCs w:val="18"/>
                <w:color w:val="auto"/>
              </w:rPr>
              <w:t>Weighted-average number of shares of common stock used</w:t>
            </w:r>
          </w:p>
        </w:tc>
        <w:tc>
          <w:tcPr>
            <w:tcW w:w="300" w:type="dxa"/>
            <w:vAlign w:val="bottom"/>
            <w:shd w:val="clear" w:color="auto" w:fill="EEF2F7"/>
          </w:tcPr>
          <w:p>
            <w:pPr>
              <w:spacing w:after="0"/>
              <w:rPr>
                <w:sz w:val="15"/>
                <w:szCs w:val="15"/>
                <w:color w:val="auto"/>
              </w:rPr>
            </w:pPr>
          </w:p>
        </w:tc>
        <w:tc>
          <w:tcPr>
            <w:tcW w:w="1120" w:type="dxa"/>
            <w:vAlign w:val="bottom"/>
            <w:shd w:val="clear" w:color="auto" w:fill="EEF2F7"/>
          </w:tcPr>
          <w:p>
            <w:pPr>
              <w:spacing w:after="0"/>
              <w:rPr>
                <w:sz w:val="15"/>
                <w:szCs w:val="15"/>
                <w:color w:val="auto"/>
              </w:rPr>
            </w:pPr>
          </w:p>
        </w:tc>
        <w:tc>
          <w:tcPr>
            <w:tcW w:w="260" w:type="dxa"/>
            <w:vAlign w:val="bottom"/>
            <w:shd w:val="clear" w:color="auto" w:fill="EEF2F7"/>
          </w:tcPr>
          <w:p>
            <w:pPr>
              <w:spacing w:after="0"/>
              <w:rPr>
                <w:sz w:val="15"/>
                <w:szCs w:val="15"/>
                <w:color w:val="auto"/>
              </w:rPr>
            </w:pPr>
          </w:p>
        </w:tc>
        <w:tc>
          <w:tcPr>
            <w:tcW w:w="300" w:type="dxa"/>
            <w:vAlign w:val="bottom"/>
            <w:shd w:val="clear" w:color="auto" w:fill="EEF2F7"/>
          </w:tcPr>
          <w:p>
            <w:pPr>
              <w:spacing w:after="0"/>
              <w:rPr>
                <w:sz w:val="15"/>
                <w:szCs w:val="15"/>
                <w:color w:val="auto"/>
              </w:rPr>
            </w:pPr>
          </w:p>
        </w:tc>
        <w:tc>
          <w:tcPr>
            <w:tcW w:w="1120" w:type="dxa"/>
            <w:vAlign w:val="bottom"/>
            <w:shd w:val="clear" w:color="auto" w:fill="EEF2F7"/>
          </w:tcPr>
          <w:p>
            <w:pPr>
              <w:spacing w:after="0"/>
              <w:rPr>
                <w:sz w:val="15"/>
                <w:szCs w:val="15"/>
                <w:color w:val="auto"/>
              </w:rPr>
            </w:pPr>
          </w:p>
        </w:tc>
        <w:tc>
          <w:tcPr>
            <w:tcW w:w="100" w:type="dxa"/>
            <w:vAlign w:val="bottom"/>
            <w:shd w:val="clear" w:color="auto" w:fill="EEF2F7"/>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EF2F7"/>
          </w:tcPr>
          <w:p>
            <w:pPr>
              <w:ind w:left="140"/>
              <w:spacing w:after="0" w:line="202" w:lineRule="exact"/>
              <w:rPr>
                <w:sz w:val="20"/>
                <w:szCs w:val="20"/>
                <w:color w:val="auto"/>
              </w:rPr>
            </w:pPr>
            <w:r>
              <w:rPr>
                <w:rFonts w:ascii="Arial" w:cs="Arial" w:eastAsia="Arial" w:hAnsi="Arial"/>
                <w:sz w:val="18"/>
                <w:szCs w:val="18"/>
                <w:color w:val="auto"/>
              </w:rPr>
              <w:t>in computing net income (loss) per share attributable to</w:t>
            </w: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EEF2F7"/>
          </w:tcPr>
          <w:p>
            <w:pPr>
              <w:ind w:left="140"/>
              <w:spacing w:after="0"/>
              <w:rPr>
                <w:sz w:val="20"/>
                <w:szCs w:val="20"/>
                <w:color w:val="auto"/>
              </w:rPr>
            </w:pPr>
            <w:r>
              <w:rPr>
                <w:rFonts w:ascii="Arial" w:cs="Arial" w:eastAsia="Arial" w:hAnsi="Arial"/>
                <w:sz w:val="18"/>
                <w:szCs w:val="18"/>
                <w:color w:val="auto"/>
              </w:rPr>
              <w:t>common stockholders — basic</w:t>
            </w:r>
          </w:p>
        </w:tc>
        <w:tc>
          <w:tcPr>
            <w:tcW w:w="300" w:type="dxa"/>
            <w:vAlign w:val="bottom"/>
            <w:shd w:val="clear" w:color="auto" w:fill="EEF2F7"/>
          </w:tcPr>
          <w:p>
            <w:pPr>
              <w:spacing w:after="0"/>
              <w:rPr>
                <w:sz w:val="19"/>
                <w:szCs w:val="19"/>
                <w:color w:val="auto"/>
              </w:rPr>
            </w:pPr>
          </w:p>
        </w:tc>
        <w:tc>
          <w:tcPr>
            <w:tcW w:w="1120" w:type="dxa"/>
            <w:vAlign w:val="bottom"/>
            <w:shd w:val="clear" w:color="auto" w:fill="EEF2F7"/>
          </w:tcPr>
          <w:p>
            <w:pPr>
              <w:jc w:val="right"/>
              <w:spacing w:after="0"/>
              <w:rPr>
                <w:sz w:val="20"/>
                <w:szCs w:val="20"/>
                <w:color w:val="auto"/>
              </w:rPr>
            </w:pPr>
            <w:r>
              <w:rPr>
                <w:rFonts w:ascii="Arial" w:cs="Arial" w:eastAsia="Arial" w:hAnsi="Arial"/>
                <w:sz w:val="18"/>
                <w:szCs w:val="18"/>
                <w:color w:val="auto"/>
              </w:rPr>
              <w:t>94,055,057</w:t>
            </w:r>
          </w:p>
        </w:tc>
        <w:tc>
          <w:tcPr>
            <w:tcW w:w="260" w:type="dxa"/>
            <w:vAlign w:val="bottom"/>
            <w:shd w:val="clear" w:color="auto" w:fill="EEF2F7"/>
          </w:tcPr>
          <w:p>
            <w:pPr>
              <w:spacing w:after="0"/>
              <w:rPr>
                <w:sz w:val="19"/>
                <w:szCs w:val="19"/>
                <w:color w:val="auto"/>
              </w:rPr>
            </w:pPr>
          </w:p>
        </w:tc>
        <w:tc>
          <w:tcPr>
            <w:tcW w:w="300" w:type="dxa"/>
            <w:vAlign w:val="bottom"/>
            <w:shd w:val="clear" w:color="auto" w:fill="EEF2F7"/>
          </w:tcPr>
          <w:p>
            <w:pPr>
              <w:spacing w:after="0"/>
              <w:rPr>
                <w:sz w:val="19"/>
                <w:szCs w:val="19"/>
                <w:color w:val="auto"/>
              </w:rPr>
            </w:pPr>
          </w:p>
        </w:tc>
        <w:tc>
          <w:tcPr>
            <w:tcW w:w="1120" w:type="dxa"/>
            <w:vAlign w:val="bottom"/>
            <w:shd w:val="clear" w:color="auto" w:fill="EEF2F7"/>
          </w:tcPr>
          <w:p>
            <w:pPr>
              <w:jc w:val="right"/>
              <w:spacing w:after="0"/>
              <w:rPr>
                <w:sz w:val="20"/>
                <w:szCs w:val="20"/>
                <w:color w:val="auto"/>
              </w:rPr>
            </w:pPr>
            <w:r>
              <w:rPr>
                <w:rFonts w:ascii="Arial" w:cs="Arial" w:eastAsia="Arial" w:hAnsi="Arial"/>
                <w:sz w:val="18"/>
                <w:szCs w:val="18"/>
                <w:color w:val="auto"/>
              </w:rPr>
              <w:t>103,094,690</w:t>
            </w:r>
          </w:p>
        </w:tc>
        <w:tc>
          <w:tcPr>
            <w:tcW w:w="100" w:type="dxa"/>
            <w:vAlign w:val="bottom"/>
            <w:shd w:val="clear" w:color="auto" w:fill="EEF2F7"/>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tcPr>
          <w:p>
            <w:pPr>
              <w:ind w:left="120"/>
              <w:spacing w:after="0" w:line="183" w:lineRule="exact"/>
              <w:rPr>
                <w:sz w:val="20"/>
                <w:szCs w:val="20"/>
                <w:color w:val="auto"/>
              </w:rPr>
            </w:pPr>
            <w:r>
              <w:rPr>
                <w:rFonts w:ascii="Arial" w:cs="Arial" w:eastAsia="Arial" w:hAnsi="Arial"/>
                <w:sz w:val="18"/>
                <w:szCs w:val="18"/>
                <w:color w:val="auto"/>
              </w:rPr>
              <w:t>Dilutive effect of share equivalents resulting from stock</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900" w:type="dxa"/>
            <w:vAlign w:val="bottom"/>
          </w:tcPr>
          <w:p>
            <w:pPr>
              <w:ind w:left="26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EEF2F7"/>
          </w:tcPr>
          <w:p>
            <w:pPr>
              <w:ind w:left="120"/>
              <w:spacing w:after="0" w:line="183" w:lineRule="exact"/>
              <w:rPr>
                <w:sz w:val="20"/>
                <w:szCs w:val="20"/>
                <w:color w:val="auto"/>
              </w:rPr>
            </w:pPr>
            <w:r>
              <w:rPr>
                <w:rFonts w:ascii="Arial" w:cs="Arial" w:eastAsia="Arial" w:hAnsi="Arial"/>
                <w:sz w:val="18"/>
                <w:szCs w:val="18"/>
                <w:color w:val="auto"/>
              </w:rPr>
              <w:t>Dilutive effect of share equivalents resulting from</w:t>
            </w:r>
          </w:p>
        </w:tc>
        <w:tc>
          <w:tcPr>
            <w:tcW w:w="300" w:type="dxa"/>
            <w:vAlign w:val="bottom"/>
            <w:shd w:val="clear" w:color="auto" w:fill="EEF2F7"/>
          </w:tcPr>
          <w:p>
            <w:pPr>
              <w:spacing w:after="0"/>
              <w:rPr>
                <w:sz w:val="15"/>
                <w:szCs w:val="15"/>
                <w:color w:val="auto"/>
              </w:rPr>
            </w:pPr>
          </w:p>
        </w:tc>
        <w:tc>
          <w:tcPr>
            <w:tcW w:w="1120" w:type="dxa"/>
            <w:vAlign w:val="bottom"/>
            <w:vMerge w:val="restart"/>
            <w:shd w:val="clear" w:color="auto" w:fill="EEF2F7"/>
          </w:tcPr>
          <w:p>
            <w:pPr>
              <w:jc w:val="right"/>
              <w:spacing w:after="0"/>
              <w:rPr>
                <w:sz w:val="20"/>
                <w:szCs w:val="20"/>
                <w:color w:val="auto"/>
              </w:rPr>
            </w:pPr>
            <w:r>
              <w:rPr>
                <w:rFonts w:ascii="Arial" w:cs="Arial" w:eastAsia="Arial" w:hAnsi="Arial"/>
                <w:sz w:val="18"/>
                <w:szCs w:val="18"/>
                <w:color w:val="auto"/>
              </w:rPr>
              <w:t>1,036,123</w:t>
            </w:r>
          </w:p>
        </w:tc>
        <w:tc>
          <w:tcPr>
            <w:tcW w:w="260" w:type="dxa"/>
            <w:vAlign w:val="bottom"/>
            <w:shd w:val="clear" w:color="auto" w:fill="EEF2F7"/>
          </w:tcPr>
          <w:p>
            <w:pPr>
              <w:spacing w:after="0"/>
              <w:rPr>
                <w:sz w:val="15"/>
                <w:szCs w:val="15"/>
                <w:color w:val="auto"/>
              </w:rPr>
            </w:pPr>
          </w:p>
        </w:tc>
        <w:tc>
          <w:tcPr>
            <w:tcW w:w="300" w:type="dxa"/>
            <w:vAlign w:val="bottom"/>
            <w:shd w:val="clear" w:color="auto" w:fill="EEF2F7"/>
          </w:tcPr>
          <w:p>
            <w:pPr>
              <w:spacing w:after="0"/>
              <w:rPr>
                <w:sz w:val="15"/>
                <w:szCs w:val="15"/>
                <w:color w:val="auto"/>
              </w:rPr>
            </w:pPr>
          </w:p>
        </w:tc>
        <w:tc>
          <w:tcPr>
            <w:tcW w:w="1120" w:type="dxa"/>
            <w:vAlign w:val="bottom"/>
            <w:vMerge w:val="restart"/>
            <w:shd w:val="clear" w:color="auto" w:fill="EEF2F7"/>
          </w:tcPr>
          <w:p>
            <w:pPr>
              <w:jc w:val="right"/>
              <w:spacing w:after="0"/>
              <w:rPr>
                <w:sz w:val="20"/>
                <w:szCs w:val="20"/>
                <w:color w:val="auto"/>
              </w:rPr>
            </w:pPr>
            <w:r>
              <w:rPr>
                <w:rFonts w:ascii="Arial" w:cs="Arial" w:eastAsia="Arial" w:hAnsi="Arial"/>
                <w:sz w:val="18"/>
                <w:szCs w:val="18"/>
                <w:color w:val="auto"/>
              </w:rPr>
              <w:t>1,952,737</w:t>
            </w:r>
          </w:p>
        </w:tc>
        <w:tc>
          <w:tcPr>
            <w:tcW w:w="100" w:type="dxa"/>
            <w:vAlign w:val="bottom"/>
            <w:shd w:val="clear" w:color="auto" w:fill="EEF2F7"/>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900" w:type="dxa"/>
            <w:vAlign w:val="bottom"/>
            <w:tcBorders>
              <w:bottom w:val="single" w:sz="8" w:color="EEF2F7"/>
            </w:tcBorders>
            <w:shd w:val="clear" w:color="auto" w:fill="EEF2F7"/>
          </w:tcPr>
          <w:p>
            <w:pPr>
              <w:ind w:left="260"/>
              <w:spacing w:after="0"/>
              <w:rPr>
                <w:sz w:val="20"/>
                <w:szCs w:val="20"/>
                <w:color w:val="auto"/>
              </w:rPr>
            </w:pPr>
            <w:r>
              <w:rPr>
                <w:rFonts w:ascii="Arial" w:cs="Arial" w:eastAsia="Arial" w:hAnsi="Arial"/>
                <w:sz w:val="18"/>
                <w:szCs w:val="18"/>
                <w:color w:val="auto"/>
              </w:rPr>
              <w:t>unvested restricted stock units</w:t>
            </w:r>
          </w:p>
        </w:tc>
        <w:tc>
          <w:tcPr>
            <w:tcW w:w="300" w:type="dxa"/>
            <w:vAlign w:val="bottom"/>
            <w:tcBorders>
              <w:bottom w:val="single" w:sz="8" w:color="auto"/>
            </w:tcBorders>
            <w:shd w:val="clear" w:color="auto" w:fill="EEF2F7"/>
          </w:tcPr>
          <w:p>
            <w:pPr>
              <w:spacing w:after="0"/>
              <w:rPr>
                <w:sz w:val="18"/>
                <w:szCs w:val="18"/>
                <w:color w:val="auto"/>
              </w:rPr>
            </w:pPr>
          </w:p>
        </w:tc>
        <w:tc>
          <w:tcPr>
            <w:tcW w:w="1120" w:type="dxa"/>
            <w:vAlign w:val="bottom"/>
            <w:tcBorders>
              <w:bottom w:val="single" w:sz="8" w:color="auto"/>
            </w:tcBorders>
            <w:vMerge w:val="continue"/>
            <w:shd w:val="clear" w:color="auto" w:fill="EEF2F7"/>
          </w:tcPr>
          <w:p>
            <w:pPr>
              <w:spacing w:after="0"/>
              <w:rPr>
                <w:sz w:val="18"/>
                <w:szCs w:val="18"/>
                <w:color w:val="auto"/>
              </w:rPr>
            </w:pPr>
          </w:p>
        </w:tc>
        <w:tc>
          <w:tcPr>
            <w:tcW w:w="260" w:type="dxa"/>
            <w:vAlign w:val="bottom"/>
            <w:tcBorders>
              <w:bottom w:val="single" w:sz="8" w:color="EEF2F7"/>
            </w:tcBorders>
            <w:shd w:val="clear" w:color="auto" w:fill="EEF2F7"/>
          </w:tcPr>
          <w:p>
            <w:pPr>
              <w:spacing w:after="0"/>
              <w:rPr>
                <w:sz w:val="18"/>
                <w:szCs w:val="18"/>
                <w:color w:val="auto"/>
              </w:rPr>
            </w:pPr>
          </w:p>
        </w:tc>
        <w:tc>
          <w:tcPr>
            <w:tcW w:w="300" w:type="dxa"/>
            <w:vAlign w:val="bottom"/>
            <w:tcBorders>
              <w:bottom w:val="single" w:sz="8" w:color="auto"/>
            </w:tcBorders>
            <w:shd w:val="clear" w:color="auto" w:fill="EEF2F7"/>
          </w:tcPr>
          <w:p>
            <w:pPr>
              <w:spacing w:after="0"/>
              <w:rPr>
                <w:sz w:val="18"/>
                <w:szCs w:val="18"/>
                <w:color w:val="auto"/>
              </w:rPr>
            </w:pPr>
          </w:p>
        </w:tc>
        <w:tc>
          <w:tcPr>
            <w:tcW w:w="1120" w:type="dxa"/>
            <w:vAlign w:val="bottom"/>
            <w:tcBorders>
              <w:bottom w:val="single" w:sz="8" w:color="auto"/>
            </w:tcBorders>
            <w:vMerge w:val="continue"/>
            <w:shd w:val="clear" w:color="auto" w:fill="EEF2F7"/>
          </w:tcPr>
          <w:p>
            <w:pPr>
              <w:spacing w:after="0"/>
              <w:rPr>
                <w:sz w:val="18"/>
                <w:szCs w:val="18"/>
                <w:color w:val="auto"/>
              </w:rPr>
            </w:pPr>
          </w:p>
        </w:tc>
        <w:tc>
          <w:tcPr>
            <w:tcW w:w="100" w:type="dxa"/>
            <w:vAlign w:val="bottom"/>
            <w:tcBorders>
              <w:bottom w:val="single" w:sz="8" w:color="EEF2F7"/>
            </w:tcBorders>
            <w:shd w:val="clear" w:color="auto" w:fill="EEF2F7"/>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900" w:type="dxa"/>
            <w:vAlign w:val="bottom"/>
          </w:tcPr>
          <w:p>
            <w:pPr>
              <w:ind w:left="120"/>
              <w:spacing w:after="0" w:line="177" w:lineRule="exact"/>
              <w:rPr>
                <w:sz w:val="20"/>
                <w:szCs w:val="20"/>
                <w:color w:val="auto"/>
              </w:rPr>
            </w:pPr>
            <w:r>
              <w:rPr>
                <w:rFonts w:ascii="Arial" w:cs="Arial" w:eastAsia="Arial" w:hAnsi="Arial"/>
                <w:sz w:val="18"/>
                <w:szCs w:val="18"/>
                <w:color w:val="auto"/>
              </w:rPr>
              <w:t>Weighted-average number of shares of common stock</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60"/>
              <w:spacing w:after="0" w:line="202" w:lineRule="exact"/>
              <w:rPr>
                <w:sz w:val="20"/>
                <w:szCs w:val="20"/>
                <w:color w:val="auto"/>
              </w:rPr>
            </w:pPr>
            <w:r>
              <w:rPr>
                <w:rFonts w:ascii="Arial" w:cs="Arial" w:eastAsia="Arial" w:hAnsi="Arial"/>
                <w:sz w:val="18"/>
                <w:szCs w:val="18"/>
                <w:color w:val="auto"/>
              </w:rPr>
              <w:t>used in computing net income (loss) per share attributable to</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00" w:type="dxa"/>
            <w:vAlign w:val="bottom"/>
          </w:tcPr>
          <w:p>
            <w:pPr>
              <w:ind w:left="260"/>
              <w:spacing w:after="0"/>
              <w:rPr>
                <w:sz w:val="20"/>
                <w:szCs w:val="20"/>
                <w:color w:val="auto"/>
              </w:rPr>
            </w:pPr>
            <w:r>
              <w:rPr>
                <w:rFonts w:ascii="Arial" w:cs="Arial" w:eastAsia="Arial" w:hAnsi="Arial"/>
                <w:sz w:val="18"/>
                <w:szCs w:val="18"/>
                <w:color w:val="auto"/>
              </w:rPr>
              <w:t>common stockholders — diluted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95,096,141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105,068,046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Net income (loss) per share attributable to common stockholders</w:t>
            </w: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112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EEF2F7"/>
            </w:tcBorders>
            <w:shd w:val="clear" w:color="auto" w:fill="EEF2F7"/>
          </w:tcPr>
          <w:p>
            <w:pPr>
              <w:ind w:left="120"/>
              <w:spacing w:after="0" w:line="202" w:lineRule="exact"/>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auto"/>
            </w:tcBorders>
            <w:shd w:val="clear" w:color="auto" w:fill="EEF2F7"/>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0.34</w:t>
            </w:r>
          </w:p>
        </w:tc>
        <w:tc>
          <w:tcPr>
            <w:tcW w:w="260" w:type="dxa"/>
            <w:vAlign w:val="bottom"/>
            <w:tcBorders>
              <w:bottom w:val="single" w:sz="8" w:color="EEF2F7"/>
            </w:tcBorders>
            <w:shd w:val="clear" w:color="auto" w:fill="EEF2F7"/>
          </w:tcPr>
          <w:p>
            <w:pPr>
              <w:spacing w:after="0"/>
              <w:rPr>
                <w:sz w:val="21"/>
                <w:szCs w:val="21"/>
                <w:color w:val="auto"/>
              </w:rPr>
            </w:pPr>
          </w:p>
        </w:tc>
        <w:tc>
          <w:tcPr>
            <w:tcW w:w="300" w:type="dxa"/>
            <w:vAlign w:val="bottom"/>
            <w:tcBorders>
              <w:bottom w:val="single" w:sz="8" w:color="auto"/>
            </w:tcBorders>
            <w:shd w:val="clear" w:color="auto" w:fill="EEF2F7"/>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0.41</w:t>
            </w:r>
          </w:p>
        </w:tc>
        <w:tc>
          <w:tcPr>
            <w:tcW w:w="100" w:type="dxa"/>
            <w:vAlign w:val="bottom"/>
            <w:tcBorders>
              <w:bottom w:val="single" w:sz="8" w:color="EEF2F7"/>
            </w:tcBorders>
            <w:shd w:val="clear" w:color="auto" w:fill="EEF2F7"/>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120"/>
              <w:spacing w:after="0" w:line="183" w:lineRule="exact"/>
              <w:rPr>
                <w:sz w:val="20"/>
                <w:szCs w:val="20"/>
                <w:color w:val="auto"/>
              </w:rPr>
            </w:pPr>
            <w:r>
              <w:rPr>
                <w:rFonts w:ascii="Arial" w:cs="Arial" w:eastAsia="Arial" w:hAnsi="Arial"/>
                <w:sz w:val="18"/>
                <w:szCs w:val="18"/>
                <w:color w:val="auto"/>
              </w:rPr>
              <w:t>Discontinued operations</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EEF2F7"/>
          </w:tcPr>
          <w:p>
            <w:pPr>
              <w:ind w:left="120"/>
              <w:spacing w:after="0" w:line="183" w:lineRule="exact"/>
              <w:rPr>
                <w:sz w:val="20"/>
                <w:szCs w:val="20"/>
                <w:color w:val="auto"/>
              </w:rPr>
            </w:pPr>
            <w:r>
              <w:rPr>
                <w:rFonts w:ascii="Arial" w:cs="Arial" w:eastAsia="Arial" w:hAnsi="Arial"/>
                <w:sz w:val="18"/>
                <w:szCs w:val="18"/>
                <w:color w:val="auto"/>
              </w:rPr>
              <w:t>Consolidated</w:t>
            </w:r>
          </w:p>
        </w:tc>
        <w:tc>
          <w:tcPr>
            <w:tcW w:w="300" w:type="dxa"/>
            <w:vAlign w:val="bottom"/>
            <w:shd w:val="clear" w:color="auto" w:fill="EEF2F7"/>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EF2F7"/>
          </w:tcPr>
          <w:p>
            <w:pPr>
              <w:jc w:val="right"/>
              <w:spacing w:after="0" w:line="183" w:lineRule="exact"/>
              <w:rPr>
                <w:sz w:val="20"/>
                <w:szCs w:val="20"/>
                <w:color w:val="auto"/>
              </w:rPr>
            </w:pPr>
            <w:r>
              <w:rPr>
                <w:rFonts w:ascii="Arial" w:cs="Arial" w:eastAsia="Arial" w:hAnsi="Arial"/>
                <w:sz w:val="18"/>
                <w:szCs w:val="18"/>
                <w:color w:val="auto"/>
              </w:rPr>
              <w:t>0.34</w:t>
            </w:r>
          </w:p>
        </w:tc>
        <w:tc>
          <w:tcPr>
            <w:tcW w:w="560" w:type="dxa"/>
            <w:vAlign w:val="bottom"/>
            <w:gridSpan w:val="2"/>
            <w:shd w:val="clear" w:color="auto" w:fill="EEF2F7"/>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120" w:type="dxa"/>
            <w:vAlign w:val="bottom"/>
            <w:shd w:val="clear" w:color="auto" w:fill="EEF2F7"/>
          </w:tcPr>
          <w:p>
            <w:pPr>
              <w:jc w:val="right"/>
              <w:spacing w:after="0" w:line="183" w:lineRule="exact"/>
              <w:rPr>
                <w:sz w:val="20"/>
                <w:szCs w:val="20"/>
                <w:color w:val="auto"/>
              </w:rPr>
            </w:pPr>
            <w:r>
              <w:rPr>
                <w:rFonts w:ascii="Arial" w:cs="Arial" w:eastAsia="Arial" w:hAnsi="Arial"/>
                <w:sz w:val="18"/>
                <w:szCs w:val="18"/>
                <w:color w:val="auto"/>
              </w:rPr>
              <w:t>0.38</w:t>
            </w:r>
          </w:p>
        </w:tc>
        <w:tc>
          <w:tcPr>
            <w:tcW w:w="100" w:type="dxa"/>
            <w:vAlign w:val="bottom"/>
            <w:shd w:val="clear" w:color="auto" w:fill="EEF2F7"/>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900" w:type="dxa"/>
            <w:vAlign w:val="bottom"/>
            <w:tcBorders>
              <w:top w:val="single" w:sz="8" w:color="EEF2F7"/>
            </w:tcBorders>
          </w:tcPr>
          <w:p>
            <w:pPr>
              <w:spacing w:after="0" w:line="183" w:lineRule="exact"/>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EEF2F7"/>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EEF2F7"/>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EEF2F7"/>
            </w:tcBorders>
            <w:shd w:val="clear" w:color="auto" w:fill="EEF2F7"/>
          </w:tcPr>
          <w:p>
            <w:pPr>
              <w:ind w:left="120"/>
              <w:spacing w:after="0" w:line="202" w:lineRule="exact"/>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auto"/>
            </w:tcBorders>
            <w:shd w:val="clear" w:color="auto" w:fill="EEF2F7"/>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0.34</w:t>
            </w:r>
          </w:p>
        </w:tc>
        <w:tc>
          <w:tcPr>
            <w:tcW w:w="260" w:type="dxa"/>
            <w:vAlign w:val="bottom"/>
            <w:tcBorders>
              <w:bottom w:val="single" w:sz="8" w:color="EEF2F7"/>
            </w:tcBorders>
            <w:shd w:val="clear" w:color="auto" w:fill="EEF2F7"/>
          </w:tcPr>
          <w:p>
            <w:pPr>
              <w:spacing w:after="0"/>
              <w:rPr>
                <w:sz w:val="21"/>
                <w:szCs w:val="21"/>
                <w:color w:val="auto"/>
              </w:rPr>
            </w:pPr>
          </w:p>
        </w:tc>
        <w:tc>
          <w:tcPr>
            <w:tcW w:w="300" w:type="dxa"/>
            <w:vAlign w:val="bottom"/>
            <w:tcBorders>
              <w:bottom w:val="single" w:sz="8" w:color="auto"/>
            </w:tcBorders>
            <w:shd w:val="clear" w:color="auto" w:fill="EEF2F7"/>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0.40</w:t>
            </w:r>
          </w:p>
        </w:tc>
        <w:tc>
          <w:tcPr>
            <w:tcW w:w="100" w:type="dxa"/>
            <w:vAlign w:val="bottom"/>
            <w:tcBorders>
              <w:bottom w:val="single" w:sz="8" w:color="EEF2F7"/>
            </w:tcBorders>
            <w:shd w:val="clear" w:color="auto" w:fill="EEF2F7"/>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120"/>
              <w:spacing w:after="0" w:line="183" w:lineRule="exact"/>
              <w:rPr>
                <w:sz w:val="20"/>
                <w:szCs w:val="20"/>
                <w:color w:val="auto"/>
              </w:rPr>
            </w:pPr>
            <w:r>
              <w:rPr>
                <w:rFonts w:ascii="Arial" w:cs="Arial" w:eastAsia="Arial" w:hAnsi="Arial"/>
                <w:sz w:val="18"/>
                <w:szCs w:val="18"/>
                <w:color w:val="auto"/>
              </w:rPr>
              <w:t>Discontinued operations</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Borders>
              <w:bottom w:val="single" w:sz="8" w:color="EEF2F7"/>
            </w:tcBorders>
            <w:shd w:val="clear" w:color="auto" w:fill="EEF2F7"/>
          </w:tcPr>
          <w:p>
            <w:pPr>
              <w:ind w:left="120"/>
              <w:spacing w:after="0" w:line="183" w:lineRule="exact"/>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auto"/>
            </w:tcBorders>
            <w:shd w:val="clear" w:color="auto" w:fill="EEF2F7"/>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F2F7"/>
          </w:tcPr>
          <w:p>
            <w:pPr>
              <w:jc w:val="right"/>
              <w:spacing w:after="0" w:line="183" w:lineRule="exact"/>
              <w:rPr>
                <w:sz w:val="20"/>
                <w:szCs w:val="20"/>
                <w:color w:val="auto"/>
              </w:rPr>
            </w:pPr>
            <w:r>
              <w:rPr>
                <w:rFonts w:ascii="Arial" w:cs="Arial" w:eastAsia="Arial" w:hAnsi="Arial"/>
                <w:sz w:val="18"/>
                <w:szCs w:val="18"/>
                <w:color w:val="auto"/>
              </w:rPr>
              <w:t>0.34</w:t>
            </w:r>
          </w:p>
        </w:tc>
        <w:tc>
          <w:tcPr>
            <w:tcW w:w="260" w:type="dxa"/>
            <w:vAlign w:val="bottom"/>
            <w:tcBorders>
              <w:bottom w:val="single" w:sz="8" w:color="EEF2F7"/>
            </w:tcBorders>
            <w:shd w:val="clear" w:color="auto" w:fill="EEF2F7"/>
          </w:tcPr>
          <w:p>
            <w:pPr>
              <w:spacing w:after="0"/>
              <w:rPr>
                <w:sz w:val="19"/>
                <w:szCs w:val="19"/>
                <w:color w:val="auto"/>
              </w:rPr>
            </w:pPr>
          </w:p>
        </w:tc>
        <w:tc>
          <w:tcPr>
            <w:tcW w:w="300" w:type="dxa"/>
            <w:vAlign w:val="bottom"/>
            <w:tcBorders>
              <w:bottom w:val="single" w:sz="8" w:color="auto"/>
            </w:tcBorders>
            <w:shd w:val="clear" w:color="auto" w:fill="EEF2F7"/>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F2F7"/>
          </w:tcPr>
          <w:p>
            <w:pPr>
              <w:jc w:val="right"/>
              <w:spacing w:after="0" w:line="183" w:lineRule="exact"/>
              <w:rPr>
                <w:sz w:val="20"/>
                <w:szCs w:val="20"/>
                <w:color w:val="auto"/>
              </w:rPr>
            </w:pPr>
            <w:r>
              <w:rPr>
                <w:rFonts w:ascii="Arial" w:cs="Arial" w:eastAsia="Arial" w:hAnsi="Arial"/>
                <w:sz w:val="18"/>
                <w:szCs w:val="18"/>
                <w:color w:val="auto"/>
              </w:rPr>
              <w:t>0.37</w:t>
            </w:r>
          </w:p>
        </w:tc>
        <w:tc>
          <w:tcPr>
            <w:tcW w:w="100" w:type="dxa"/>
            <w:vAlign w:val="bottom"/>
            <w:tcBorders>
              <w:bottom w:val="single" w:sz="8" w:color="EEF2F7"/>
            </w:tcBorders>
            <w:shd w:val="clear" w:color="auto" w:fill="EEF2F7"/>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-1705610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-1705610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-925195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-908050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-616585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-599440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-616585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-599440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-334010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-316865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the three months ended March 31, 2026 and 2025, potentially dilutive common stock equivalents that have been excluded from the calculation of diluted weighted-average shares outstanding as their effect would have been anti-dilutive was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3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900" w:type="dxa"/>
            <w:vAlign w:val="bottom"/>
          </w:tcPr>
          <w:p>
            <w:pPr>
              <w:spacing w:after="0"/>
              <w:rPr>
                <w:sz w:val="14"/>
                <w:szCs w:val="14"/>
                <w:color w:val="auto"/>
              </w:rPr>
            </w:pPr>
          </w:p>
        </w:tc>
        <w:tc>
          <w:tcPr>
            <w:tcW w:w="20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900" w:type="dxa"/>
            <w:vAlign w:val="bottom"/>
          </w:tcPr>
          <w:p>
            <w:pPr>
              <w:spacing w:after="0"/>
              <w:rPr>
                <w:sz w:val="13"/>
                <w:szCs w:val="13"/>
                <w:color w:val="auto"/>
              </w:rPr>
            </w:pPr>
          </w:p>
        </w:tc>
        <w:tc>
          <w:tcPr>
            <w:tcW w:w="146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69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Stock options outstanding</w:t>
            </w:r>
          </w:p>
        </w:tc>
        <w:tc>
          <w:tcPr>
            <w:tcW w:w="146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360,751</w:t>
            </w:r>
          </w:p>
        </w:tc>
        <w:tc>
          <w:tcPr>
            <w:tcW w:w="22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360,751</w:t>
            </w:r>
          </w:p>
        </w:tc>
        <w:tc>
          <w:tcPr>
            <w:tcW w:w="100" w:type="dxa"/>
            <w:vAlign w:val="bottom"/>
            <w:shd w:val="clear" w:color="auto" w:fill="EEF2F7"/>
          </w:tcPr>
          <w:p>
            <w:pPr>
              <w:spacing w:after="0"/>
              <w:rPr>
                <w:sz w:val="17"/>
                <w:szCs w:val="17"/>
                <w:color w:val="auto"/>
              </w:rPr>
            </w:pPr>
          </w:p>
        </w:tc>
      </w:t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213,099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58,326</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12. Income Taxes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During the three months ended March 31, 2026 and 2025, the Company recognized an income tax provision of $8.9 million and $11.4 million, respectively, representing an effective tax rate of 21.7% and 21.3%, respectively.</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effective tax rates for the three months ended March 31, 2026 and 2025, were greater than the statutory tax rate of 21%, primarily due to state and local income taxes, partially offset by federal and state research and development tax credits and windfall tax benefits on share-based compensation.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13. Segment and Geographic Information</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Beginning in the fourth quarter of 2025, in connection with the wind-down of CarOffer, the Company’s chief executive officer, who acts as the CODM, began to manage the business, make operating decisions, and evaluate operating performance based on consolidated results. Accordingly, the change led to revisions to the nature and substance of information regularly provided to and used by the CODM, and served to align the Company’s reported results with its ongoing growth strategy. As a result, beginning in the fourth quarter of 2025 the Company reports its financial results as a single reportable segment. Accordingly, the Company has recast prior year segment disclosures for comparability.</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The Unaudited Condensed Consolidated Income Statements represent the Company’s segment presentation and are presented in the same manner as the CODM reviews the Company’s operating results in assessing performance and allocating resources. In evaluating performance, the CODM reviews revenue and income from operations. Income from operations is also used in the Company’s annual budgeting and monthly forecasting process and is compared against budgeted and forecasted amounts to evaluate performance and make decisions for the allocation of capital and other resources.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The Company’s significant segment expenses consist of cost of revenue and sales and marketing expense. Significant segment expenses are presented in the Unaudited Condensed Consolidated Income Statements. The Company’s other segment items consist of product, technology, and development expense, general and administrative expense, impairment expense, and depreciation and amortization expense, which have been disclosed separately on the Unaudited Condensed Consolidated Income Statements to meet disclosure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002D"/>
        </w:rPr>
        <w:t>Segment assets are reported on the Unaudited Condensed Consolidated Balance Sheets as total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0002D"/>
        </w:rPr>
        <w:t>For the three months ended March 31, 2026 and 2025, revenue by geographical region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40" w:type="dxa"/>
            <w:vAlign w:val="bottom"/>
            <w:gridSpan w:val="6"/>
          </w:tcPr>
          <w:p>
            <w:pPr>
              <w:jc w:val="center"/>
              <w:ind w:right="10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0"/>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40" w:type="dxa"/>
            <w:vAlign w:val="bottom"/>
            <w:gridSpan w:val="6"/>
          </w:tcPr>
          <w:p>
            <w:pPr>
              <w:jc w:val="center"/>
              <w:ind w:right="9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40" w:type="dxa"/>
            <w:vAlign w:val="bottom"/>
            <w:shd w:val="clear" w:color="auto" w:fill="EEF2F7"/>
          </w:tcPr>
          <w:p>
            <w:pPr>
              <w:spacing w:after="0" w:line="202" w:lineRule="exact"/>
              <w:rPr>
                <w:sz w:val="20"/>
                <w:szCs w:val="20"/>
                <w:color w:val="auto"/>
              </w:rPr>
            </w:pPr>
            <w:r>
              <w:rPr>
                <w:rFonts w:ascii="Arial" w:cs="Arial" w:eastAsia="Arial" w:hAnsi="Arial"/>
                <w:sz w:val="18"/>
                <w:szCs w:val="18"/>
                <w:i w:val="1"/>
                <w:iCs w:val="1"/>
                <w:color w:val="auto"/>
              </w:rPr>
              <w:t>Revenue by Geographic Region</w:t>
            </w:r>
          </w:p>
        </w:tc>
        <w:tc>
          <w:tcPr>
            <w:tcW w:w="3160" w:type="dxa"/>
            <w:vAlign w:val="bottom"/>
            <w:shd w:val="clear" w:color="auto" w:fill="EEF2F7"/>
          </w:tcPr>
          <w:p>
            <w:pPr>
              <w:spacing w:after="0"/>
              <w:rPr>
                <w:sz w:val="17"/>
                <w:szCs w:val="17"/>
                <w:color w:val="auto"/>
              </w:rPr>
            </w:pP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40" w:type="dxa"/>
            <w:vAlign w:val="bottom"/>
          </w:tcPr>
          <w:p>
            <w:pPr>
              <w:ind w:left="120"/>
              <w:spacing w:after="0" w:line="202" w:lineRule="exact"/>
              <w:rPr>
                <w:sz w:val="20"/>
                <w:szCs w:val="20"/>
                <w:color w:val="auto"/>
              </w:rPr>
            </w:pPr>
            <w:r>
              <w:rPr>
                <w:rFonts w:ascii="Arial" w:cs="Arial" w:eastAsia="Arial" w:hAnsi="Arial"/>
                <w:sz w:val="18"/>
                <w:szCs w:val="18"/>
                <w:color w:val="auto"/>
              </w:rPr>
              <w:t>U.S.</w:t>
            </w:r>
          </w:p>
        </w:tc>
        <w:tc>
          <w:tcPr>
            <w:tcW w:w="3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219,989</w:t>
            </w:r>
          </w:p>
        </w:tc>
        <w:tc>
          <w:tcPr>
            <w:tcW w:w="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195,228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40" w:type="dxa"/>
            <w:vAlign w:val="bottom"/>
            <w:tcBorders>
              <w:bottom w:val="single" w:sz="8" w:color="EEF2F7"/>
            </w:tcBorders>
            <w:shd w:val="clear" w:color="auto" w:fill="EEF2F7"/>
          </w:tcPr>
          <w:p>
            <w:pPr>
              <w:ind w:left="120"/>
              <w:spacing w:after="0" w:line="202" w:lineRule="exact"/>
              <w:rPr>
                <w:sz w:val="20"/>
                <w:szCs w:val="20"/>
                <w:color w:val="auto"/>
              </w:rPr>
            </w:pPr>
            <w:r>
              <w:rPr>
                <w:rFonts w:ascii="Arial" w:cs="Arial" w:eastAsia="Arial" w:hAnsi="Arial"/>
                <w:sz w:val="18"/>
                <w:szCs w:val="18"/>
                <w:color w:val="auto"/>
              </w:rPr>
              <w:t>International</w:t>
            </w:r>
          </w:p>
        </w:tc>
        <w:tc>
          <w:tcPr>
            <w:tcW w:w="3160" w:type="dxa"/>
            <w:vAlign w:val="bottom"/>
            <w:tcBorders>
              <w:bottom w:val="single" w:sz="8" w:color="EEF2F7"/>
            </w:tcBorders>
            <w:shd w:val="clear" w:color="auto" w:fill="EEF2F7"/>
          </w:tcPr>
          <w:p>
            <w:pPr>
              <w:spacing w:after="0"/>
              <w:rPr>
                <w:sz w:val="17"/>
                <w:szCs w:val="17"/>
                <w:color w:val="auto"/>
              </w:rPr>
            </w:pPr>
          </w:p>
        </w:tc>
        <w:tc>
          <w:tcPr>
            <w:tcW w:w="320" w:type="dxa"/>
            <w:vAlign w:val="bottom"/>
            <w:tcBorders>
              <w:bottom w:val="single" w:sz="8" w:color="auto"/>
            </w:tcBorders>
            <w:shd w:val="clear" w:color="auto" w:fill="EEF2F7"/>
          </w:tcPr>
          <w:p>
            <w:pPr>
              <w:spacing w:after="0"/>
              <w:rPr>
                <w:sz w:val="17"/>
                <w:szCs w:val="17"/>
                <w:color w:val="auto"/>
              </w:rPr>
            </w:pPr>
          </w:p>
        </w:tc>
        <w:tc>
          <w:tcPr>
            <w:tcW w:w="110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23,566</w:t>
            </w:r>
          </w:p>
        </w:tc>
        <w:tc>
          <w:tcPr>
            <w:tcW w:w="260" w:type="dxa"/>
            <w:vAlign w:val="bottom"/>
            <w:tcBorders>
              <w:bottom w:val="single" w:sz="8" w:color="EEF2F7"/>
            </w:tcBorders>
            <w:shd w:val="clear" w:color="auto" w:fill="EEF2F7"/>
          </w:tcPr>
          <w:p>
            <w:pPr>
              <w:spacing w:after="0"/>
              <w:rPr>
                <w:sz w:val="17"/>
                <w:szCs w:val="17"/>
                <w:color w:val="auto"/>
              </w:rPr>
            </w:pPr>
          </w:p>
        </w:tc>
        <w:tc>
          <w:tcPr>
            <w:tcW w:w="380" w:type="dxa"/>
            <w:vAlign w:val="bottom"/>
            <w:tcBorders>
              <w:bottom w:val="single" w:sz="8" w:color="auto"/>
            </w:tcBorders>
            <w:shd w:val="clear" w:color="auto" w:fill="EEF2F7"/>
          </w:tcPr>
          <w:p>
            <w:pPr>
              <w:spacing w:after="0"/>
              <w:rPr>
                <w:sz w:val="17"/>
                <w:szCs w:val="17"/>
                <w:color w:val="auto"/>
              </w:rPr>
            </w:pPr>
          </w:p>
        </w:tc>
        <w:tc>
          <w:tcPr>
            <w:tcW w:w="104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17,007</w:t>
            </w:r>
          </w:p>
        </w:tc>
        <w:tc>
          <w:tcPr>
            <w:tcW w:w="100" w:type="dxa"/>
            <w:vAlign w:val="bottom"/>
            <w:tcBorders>
              <w:bottom w:val="single" w:sz="8" w:color="EEF2F7"/>
            </w:tcBorders>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740" w:type="dxa"/>
            <w:vAlign w:val="bottom"/>
          </w:tcPr>
          <w:p>
            <w:pPr>
              <w:ind w:left="240"/>
              <w:spacing w:after="0" w:line="196" w:lineRule="exact"/>
              <w:rPr>
                <w:sz w:val="20"/>
                <w:szCs w:val="20"/>
                <w:color w:val="auto"/>
              </w:rPr>
            </w:pPr>
            <w:r>
              <w:rPr>
                <w:rFonts w:ascii="Arial" w:cs="Arial" w:eastAsia="Arial" w:hAnsi="Arial"/>
                <w:sz w:val="18"/>
                <w:szCs w:val="18"/>
                <w:color w:val="auto"/>
              </w:rPr>
              <w:t>Total</w:t>
            </w:r>
          </w:p>
        </w:tc>
        <w:tc>
          <w:tcPr>
            <w:tcW w:w="34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243,555</w:t>
            </w:r>
          </w:p>
        </w:tc>
        <w:tc>
          <w:tcPr>
            <w:tcW w:w="6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212,235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160" w:type="dxa"/>
            <w:vAlign w:val="bottom"/>
            <w:vMerge w:val="restart"/>
          </w:tcPr>
          <w:p>
            <w:pPr>
              <w:jc w:val="right"/>
              <w:ind w:right="1670"/>
              <w:spacing w:after="0"/>
              <w:rPr>
                <w:sz w:val="20"/>
                <w:szCs w:val="20"/>
                <w:color w:val="auto"/>
              </w:rPr>
            </w:pPr>
            <w:r>
              <w:rPr>
                <w:rFonts w:ascii="Arial" w:cs="Arial" w:eastAsia="Arial" w:hAnsi="Arial"/>
                <w:sz w:val="18"/>
                <w:szCs w:val="18"/>
                <w:color w:val="auto"/>
              </w:rPr>
              <w:t>20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-1199515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60"/>
        <w:spacing w:after="0" w:line="290" w:lineRule="auto"/>
        <w:rPr>
          <w:sz w:val="20"/>
          <w:szCs w:val="20"/>
          <w:color w:val="auto"/>
        </w:rPr>
      </w:pPr>
      <w:r>
        <w:rPr>
          <w:rFonts w:ascii="Arial" w:cs="Arial" w:eastAsia="Arial" w:hAnsi="Arial"/>
          <w:sz w:val="36"/>
          <w:szCs w:val="36"/>
          <w:b w:val="1"/>
          <w:bCs w:val="1"/>
          <w:color w:val="3465B0"/>
        </w:rPr>
        <w:t>Item 2. Management’s Discussion and Analysis of Financial Condition and Results of Operations.</w:t>
      </w:r>
    </w:p>
    <w:p>
      <w:pPr>
        <w:spacing w:after="0" w:line="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00002D"/>
        </w:rPr>
        <w:t>You should read the following discussion and analysis of our financial condition and results of operations together with our unaudited interim condensed consolidated financial statements, or the Unaudited Condensed Consolidated Financial Statements, and the related notes thereto, included elsewhere in this Quarterly Report, and our consolidated financial statements and the related notes and other financial information included in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For a discussion of important factors that could cause actual results to differ materially from the results described in or implied by the forward-looking statements contained in the following discussion and analysis you should review our Annual Report, including those cautionary statements set forth under Part I, Item 1A “Risk Factors.” We qualify all of our forward-looking statements by such cautionary statements.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00002D"/>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U.S. generally accepted accounting principles, or GAAP.</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wind-down of CarOffer, LLC, or CarOffer, was completed and the business was considered abandoned for accounting purposes as of December 31, 2025. For further information on the wind-down of CarOffer and related impact on financial results, refer to Discontinued Operations below.</w:t>
      </w:r>
    </w:p>
    <w:p>
      <w:pPr>
        <w:spacing w:after="0" w:line="172" w:lineRule="exact"/>
        <w:rPr>
          <w:sz w:val="20"/>
          <w:szCs w:val="20"/>
          <w:color w:val="auto"/>
        </w:rPr>
      </w:pPr>
    </w:p>
    <w:p>
      <w:pPr>
        <w:jc w:val="both"/>
        <w:ind w:right="20"/>
        <w:spacing w:after="0" w:line="232" w:lineRule="exact"/>
        <w:rPr>
          <w:sz w:val="20"/>
          <w:szCs w:val="20"/>
          <w:color w:val="auto"/>
        </w:rPr>
      </w:pPr>
      <w:r>
        <w:rPr>
          <w:rFonts w:ascii="Arial" w:cs="Arial" w:eastAsia="Arial" w:hAnsi="Arial"/>
          <w:sz w:val="18"/>
          <w:szCs w:val="18"/>
          <w:i w:val="1"/>
          <w:iCs w:val="1"/>
          <w:color w:val="auto"/>
        </w:rPr>
        <w:t>This section of this Quarterly Report discusses 2026 and 2025 items and period-to-period comparisons between 2026 and 2025. The perio</w:t>
      </w:r>
      <w:r>
        <w:rPr>
          <w:rFonts w:ascii="Arial" w:cs="Arial" w:eastAsia="Arial" w:hAnsi="Arial"/>
          <w:sz w:val="18"/>
          <w:szCs w:val="18"/>
          <w:i w:val="1"/>
          <w:iCs w:val="1"/>
          <w:color w:val="00002D"/>
        </w:rPr>
        <w:t>d</w:t>
      </w:r>
      <w:r>
        <w:rPr>
          <w:rFonts w:ascii="MS PGothic" w:cs="MS PGothic" w:eastAsia="MS PGothic" w:hAnsi="MS PGothic"/>
          <w:sz w:val="18"/>
          <w:szCs w:val="18"/>
          <w:i w:val="1"/>
          <w:iCs w:val="1"/>
          <w:color w:val="00002D"/>
        </w:rPr>
        <w:t>‑</w:t>
      </w:r>
      <w:r>
        <w:rPr>
          <w:rFonts w:ascii="Arial" w:cs="Arial" w:eastAsia="Arial" w:hAnsi="Arial"/>
          <w:sz w:val="18"/>
          <w:szCs w:val="18"/>
          <w:i w:val="1"/>
          <w:iCs w:val="1"/>
          <w:color w:val="00002D"/>
        </w:rPr>
        <w:t>to</w:t>
      </w:r>
      <w:r>
        <w:rPr>
          <w:rFonts w:ascii="MS PGothic" w:cs="MS PGothic" w:eastAsia="MS PGothic" w:hAnsi="MS PGothic"/>
          <w:sz w:val="18"/>
          <w:szCs w:val="18"/>
          <w:i w:val="1"/>
          <w:iCs w:val="1"/>
          <w:color w:val="00002D"/>
        </w:rPr>
        <w:t>‑</w:t>
      </w:r>
      <w:r>
        <w:rPr>
          <w:rFonts w:ascii="Arial" w:cs="Arial" w:eastAsia="Arial" w:hAnsi="Arial"/>
          <w:sz w:val="18"/>
          <w:szCs w:val="18"/>
          <w:i w:val="1"/>
          <w:iCs w:val="1"/>
          <w:color w:val="00002D"/>
        </w:rPr>
        <w:t>period comparison of financial results is not necessarily indicative of future results.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Company Overview</w:t>
      </w:r>
    </w:p>
    <w:p>
      <w:pPr>
        <w:spacing w:after="0" w:line="23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00002D"/>
        </w:rPr>
        <w:t>CarGurus is a multinational automotive platform helping consumers and dealers confidently buy and sell vehicles. Founded in 2006 with a mission to bring more trust and transparency to car shopping, CarGurus is the No. 1 visited automotive shopping site in the U.S.</w:t>
      </w:r>
      <w:r>
        <w:rPr>
          <w:rFonts w:ascii="Arial" w:cs="Arial" w:eastAsia="Arial" w:hAnsi="Arial"/>
          <w:sz w:val="24"/>
          <w:szCs w:val="24"/>
          <w:color w:val="00002D"/>
          <w:vertAlign w:val="superscript"/>
        </w:rPr>
        <w:t>1</w:t>
      </w:r>
      <w:r>
        <w:rPr>
          <w:rFonts w:ascii="Arial" w:cs="Arial" w:eastAsia="Arial" w:hAnsi="Arial"/>
          <w:sz w:val="18"/>
          <w:szCs w:val="18"/>
          <w:color w:val="00002D"/>
        </w:rPr>
        <w:t xml:space="preserve"> with the largest selection of inventory and network of dealers</w:t>
      </w:r>
      <w:r>
        <w:rPr>
          <w:rFonts w:ascii="Arial" w:cs="Arial" w:eastAsia="Arial" w:hAnsi="Arial"/>
          <w:sz w:val="24"/>
          <w:szCs w:val="24"/>
          <w:color w:val="00002D"/>
          <w:vertAlign w:val="superscript"/>
        </w:rPr>
        <w:t>2</w:t>
      </w:r>
      <w:r>
        <w:rPr>
          <w:rFonts w:ascii="Arial" w:cs="Arial" w:eastAsia="Arial" w:hAnsi="Arial"/>
          <w:sz w:val="18"/>
          <w:szCs w:val="18"/>
          <w:color w:val="00002D"/>
        </w:rPr>
        <w:t>. CarGurus’ selection, trusted automotive insights, and data-driven products and solutions support each shopper’s journey – from online research and shopping to in-dealership decisions – to empower them at every step. CarGurus provides dealers a personalized, predictive intelligence platform with software solutions that helps them run their businesses more efficiently and profitably at all stages of inventory acquisition and pricing, marketing, and conversion to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002D"/>
        </w:rPr>
        <w:t>We have subsidiaries in the U.S., Canada, Ireland, and the U.K. and we operate the following 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274955</wp:posOffset>
            </wp:positionV>
            <wp:extent cx="5700395"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500"/>
        <w:spacing w:after="0"/>
        <w:tabs>
          <w:tab w:leader="none" w:pos="5580" w:val="left"/>
          <w:tab w:leader="none" w:pos="8620" w:val="left"/>
        </w:tabs>
        <w:rPr>
          <w:sz w:val="20"/>
          <w:szCs w:val="20"/>
          <w:color w:val="auto"/>
        </w:rPr>
      </w:pPr>
      <w:r>
        <w:rPr>
          <w:rFonts w:ascii="Arial" w:cs="Arial" w:eastAsia="Arial" w:hAnsi="Arial"/>
          <w:sz w:val="22"/>
          <w:szCs w:val="22"/>
          <w:b w:val="1"/>
          <w:bCs w:val="1"/>
          <w:color w:val="3465B0"/>
        </w:rPr>
        <w:t>U.S., U.K., and Canada</w:t>
      </w:r>
      <w:r>
        <w:rPr>
          <w:sz w:val="20"/>
          <w:szCs w:val="20"/>
          <w:color w:val="auto"/>
        </w:rPr>
        <w:tab/>
      </w:r>
      <w:r>
        <w:rPr>
          <w:rFonts w:ascii="Arial" w:cs="Arial" w:eastAsia="Arial" w:hAnsi="Arial"/>
          <w:sz w:val="22"/>
          <w:szCs w:val="22"/>
          <w:b w:val="1"/>
          <w:bCs w:val="1"/>
          <w:color w:val="3465B0"/>
        </w:rPr>
        <w:t>U.S.</w:t>
      </w:r>
      <w:r>
        <w:rPr>
          <w:sz w:val="20"/>
          <w:szCs w:val="20"/>
          <w:color w:val="auto"/>
        </w:rPr>
        <w:tab/>
      </w:r>
      <w:r>
        <w:rPr>
          <w:rFonts w:ascii="Arial" w:cs="Arial" w:eastAsia="Arial" w:hAnsi="Arial"/>
          <w:sz w:val="21"/>
          <w:szCs w:val="21"/>
          <w:b w:val="1"/>
          <w:bCs w:val="1"/>
          <w:color w:val="3465B0"/>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123190</wp:posOffset>
            </wp:positionV>
            <wp:extent cx="99441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94410" cy="16319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114935</wp:posOffset>
            </wp:positionV>
            <wp:extent cx="95123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51230"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149225</wp:posOffset>
            </wp:positionV>
            <wp:extent cx="89154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91540" cy="12001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right"/>
        <w:ind w:left="6160" w:hanging="3533"/>
        <w:spacing w:after="0" w:line="361" w:lineRule="auto"/>
        <w:tabs>
          <w:tab w:leader="none" w:pos="2695" w:val="left"/>
        </w:tabs>
        <w:numPr>
          <w:ilvl w:val="0"/>
          <w:numId w:val="8"/>
        </w:numPr>
        <w:rPr>
          <w:rFonts w:ascii="Arial" w:cs="Arial" w:eastAsia="Arial" w:hAnsi="Arial"/>
          <w:sz w:val="13"/>
          <w:szCs w:val="13"/>
          <w:i w:val="1"/>
          <w:iCs w:val="1"/>
          <w:color w:val="00002D"/>
          <w:vertAlign w:val="superscript"/>
        </w:rPr>
      </w:pPr>
      <w:r>
        <w:rPr>
          <w:rFonts w:ascii="Arial" w:cs="Arial" w:eastAsia="Arial" w:hAnsi="Arial"/>
          <w:sz w:val="10"/>
          <w:szCs w:val="10"/>
          <w:i w:val="1"/>
          <w:iCs w:val="1"/>
          <w:color w:val="00002D"/>
        </w:rPr>
        <w:t xml:space="preserve">Similarweb: Traffic Insights (Cars.com, Autotrader.com, TrueCar.com, CARFAX.com Listings (defined as CARFAX.com Total Visits minus Vehicle History Reports)), Q1 2026, U.S. </w:t>
      </w:r>
      <w:r>
        <w:rPr>
          <w:rFonts w:ascii="Arial" w:cs="Arial" w:eastAsia="Arial" w:hAnsi="Arial"/>
          <w:sz w:val="13"/>
          <w:szCs w:val="13"/>
          <w:i w:val="1"/>
          <w:iCs w:val="1"/>
          <w:color w:val="00002D"/>
          <w:vertAlign w:val="superscript"/>
        </w:rPr>
        <w:t>2</w:t>
      </w:r>
      <w:r>
        <w:rPr>
          <w:rFonts w:ascii="Arial" w:cs="Arial" w:eastAsia="Arial" w:hAnsi="Arial"/>
          <w:sz w:val="10"/>
          <w:szCs w:val="10"/>
          <w:i w:val="1"/>
          <w:iCs w:val="1"/>
          <w:color w:val="00002D"/>
        </w:rPr>
        <w:t xml:space="preserve"> Compared to Autotrader.com, Cars.com, TrueCar.com, and CARFAX.com (Joreca as of March 31, 2026)</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Discontinued Operations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On August 6, 2025, our Board of Directors determined, after considering all reasonably available options and a broader strategic reassessment, that it was in the best interests of our stockholders to wind down CarOffer.</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 xml:space="preserve">The wind-down of CarOffer was completed and the business was considered abandoned for accounting purposes as of December 31, 2025. </w:t>
      </w:r>
      <w:r>
        <w:rPr>
          <w:rFonts w:ascii="Arial" w:cs="Arial" w:eastAsia="Arial" w:hAnsi="Arial"/>
          <w:sz w:val="18"/>
          <w:szCs w:val="18"/>
          <w:color w:val="000000"/>
        </w:rPr>
        <w:t>We have presented the financial results of CarOffer as discontinued operations in the Unaudited Condensed Consolidated Financial Statements. No assets or liabilities were classified as discontinued operations as of March 31, 2026 or December 31, 2025. No results of operations were classified as discontinued operations for the three months ended March 31, 2026. The Unaudited Condensed Consolidated Income Statement for the three months ended March 31, 2025, was derived from the Unaudited Condensed Consolidated Income Statement of CarGurus, Inc. as of that date, adjusted for the reclassification of discontinued operations. The Unaudited Condensed Consolidated Statement of Comprehensive Income, Unaudited Condensed Consolidated Statement of Stockholders’ Equity, and the Unaudited Condensed Consolidated Statement of Cash Flows as of March 31, 2025, related to discontinued operations have not been separately reclassified and are included within each for the period referenced.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As a result of the wind-down, we incurred total expenditures of $13.3 million, of which all cash expenditures were incurred during the second half of 2025 and were all paid as of December 31, 2025.</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further information, refer to Note 3 of the Unaudited Condensed Consolidated Financial Statements included elsewhere in this Quarterly Report.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Reportable Segments, Revenue, and Financial Overview</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Beginning in the fourth quarter of 2025, in connection with the wind-down of CarOffer, our chief executive officer, who acts as the Chief Operating Decision Maker, or CODM, began to manage our business, make operating decisions, and evaluate operating performance based on consolidated results. Accordingly, the change led to revisions to the nature and substance of information regularly provided to and used by the CODM, and served to align our reported results with our ongoing growth strategy. As a result, beginning in the fourth quarter of 2025 we report our financial results as a single reportable segment. For further segment reporting and geographic information, refer to Note 13 of the Unaudited Condensed Consolidated Financial Statements included elsewhere in this Quarterly Report.</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We derive our revenue from (i) dealer subscription fees, (ii) advertising from auto manufacturers and other brand advertisers, and (iii) partnerships with financing services companies.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the three months ended March 31, 2026, we generated revenue of $243.6 million, a 15% increase from $212.2 million of revenue for the three months ended March 31, 2025.</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For the three months ended March 31, 2026, we generated net income from continuing operations of $32.2 million and Adjusted EBITDA from continuing operations, a non-GAAP financial measure, of $80.2 million, compared to net income from continuing operations of $42.1 million and Adjusted EBITDA from continuing operations of $68.7 million for the three months ended March 31, 2025.</w:t>
      </w:r>
    </w:p>
    <w:p>
      <w:pPr>
        <w:spacing w:after="0" w:line="1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00002D"/>
        </w:rPr>
        <w:t>See below for more information regarding our use and reconciliation of Adjusted EBITDA from continuing operations and other non-GAAP financial measures.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Key Business Metrics</w:t>
      </w:r>
    </w:p>
    <w:p>
      <w:pPr>
        <w:spacing w:after="0" w:line="2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as applicable, for the U.S. and International geographic regions. The International region derives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Monthly Unique Users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For each of our websites, we define a monthly unique user as an individual who has visited any such website and taken a Visitor Action (as defined below) within a calendar month, based on data as measured by Google Analytics 4, or GA4. We calculate average monthly unique users as the sum of the monthly unique users of each of our websites in a defined period, divided by the number of months in that period.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We are subject to evolving privacy laws governing cookies and tracking technologies. For example, in the U.K. informed consent is required for the placement of certain cookies or similar tracking technologies on an individual’s device. Consent is tightly defined and includes a prohibition on pre-checked consents and a requirement to obtain separate consents for each type of cookie or similar technology. As a result of privacy regulations that require user consent for tracking technologies, such as those within the U.K., our ability to identify and measure our average monthly unique users is more limited, which could result in an undercount of actual average monthly unique users. Conversely, interactions with our websites generated by bots and other automated mechanisms may inflate GA4 data, which could lead to an overcount of average monthly unique users.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revenue depends, in part, on our ability to provide dealers with connections to our users and exposure to our audience. We define connections as interactions between consumers and dealers on our marketplace through phone calls, email, managed text and chat, and clicks to access the dealer’s website or map directions to the dealership.</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60" w:type="dxa"/>
            <w:vAlign w:val="bottom"/>
            <w:vMerge w:val="restart"/>
          </w:tcPr>
          <w:p>
            <w:pPr>
              <w:spacing w:after="0"/>
              <w:rPr>
                <w:sz w:val="14"/>
                <w:szCs w:val="14"/>
                <w:color w:val="auto"/>
              </w:rPr>
            </w:pPr>
          </w:p>
        </w:tc>
        <w:tc>
          <w:tcPr>
            <w:tcW w:w="212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40" w:type="dxa"/>
            <w:vAlign w:val="bottom"/>
            <w:tcBorders>
              <w:bottom w:val="single" w:sz="8" w:color="auto"/>
            </w:tcBorders>
          </w:tcPr>
          <w:p>
            <w:pPr>
              <w:jc w:val="right"/>
              <w:ind w:right="421"/>
              <w:spacing w:after="0" w:line="156" w:lineRule="exact"/>
              <w:rPr>
                <w:sz w:val="20"/>
                <w:szCs w:val="20"/>
                <w:color w:val="auto"/>
              </w:rPr>
            </w:pPr>
            <w:r>
              <w:rPr>
                <w:rFonts w:ascii="Arial" w:cs="Arial" w:eastAsia="Arial" w:hAnsi="Arial"/>
                <w:sz w:val="14"/>
                <w:szCs w:val="14"/>
                <w:b w:val="1"/>
                <w:bCs w:val="1"/>
                <w:color w:val="auto"/>
              </w:rPr>
              <w:t xml:space="preserve">2026 </w:t>
            </w:r>
            <w:r>
              <w:rPr>
                <w:rFonts w:ascii="Arial" w:cs="Arial" w:eastAsia="Arial" w:hAnsi="Arial"/>
                <w:sz w:val="18"/>
                <w:szCs w:val="18"/>
                <w:b w:val="1"/>
                <w:bCs w:val="1"/>
                <w:color w:val="auto"/>
                <w:vertAlign w:val="superscript"/>
              </w:rPr>
              <w:t>(1)</w:t>
            </w: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ind w:right="141"/>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7"/>
              </w:rPr>
              <w:t>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EEF2F7"/>
          </w:tcPr>
          <w:p>
            <w:pPr>
              <w:spacing w:after="0" w:line="202" w:lineRule="exact"/>
              <w:rPr>
                <w:sz w:val="20"/>
                <w:szCs w:val="20"/>
                <w:color w:val="auto"/>
              </w:rPr>
            </w:pPr>
            <w:r>
              <w:rPr>
                <w:rFonts w:ascii="Arial" w:cs="Arial" w:eastAsia="Arial" w:hAnsi="Arial"/>
                <w:sz w:val="18"/>
                <w:szCs w:val="18"/>
                <w:color w:val="auto"/>
              </w:rPr>
              <w:t>U.S.</w:t>
            </w:r>
          </w:p>
        </w:tc>
        <w:tc>
          <w:tcPr>
            <w:tcW w:w="14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36,584</w:t>
            </w:r>
          </w:p>
        </w:tc>
        <w:tc>
          <w:tcPr>
            <w:tcW w:w="220" w:type="dxa"/>
            <w:vAlign w:val="bottom"/>
            <w:shd w:val="clear" w:color="auto" w:fill="EEF2F7"/>
          </w:tcPr>
          <w:p>
            <w:pPr>
              <w:spacing w:after="0"/>
              <w:rPr>
                <w:sz w:val="17"/>
                <w:szCs w:val="17"/>
                <w:color w:val="auto"/>
              </w:rPr>
            </w:pPr>
          </w:p>
        </w:tc>
        <w:tc>
          <w:tcPr>
            <w:tcW w:w="460" w:type="dxa"/>
            <w:vAlign w:val="bottom"/>
            <w:shd w:val="clear" w:color="auto" w:fill="EEF2F7"/>
          </w:tcPr>
          <w:p>
            <w:pPr>
              <w:spacing w:after="0"/>
              <w:rPr>
                <w:sz w:val="17"/>
                <w:szCs w:val="17"/>
                <w:color w:val="auto"/>
              </w:rPr>
            </w:pPr>
          </w:p>
        </w:tc>
        <w:tc>
          <w:tcPr>
            <w:tcW w:w="9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35,012</w:t>
            </w: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8,634</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00" w:type="dxa"/>
            <w:vAlign w:val="bottom"/>
            <w:tcBorders>
              <w:bottom w:val="single" w:sz="8" w:color="EEF2F7"/>
            </w:tcBorders>
            <w:gridSpan w:val="2"/>
            <w:shd w:val="clear" w:color="auto" w:fill="EEF2F7"/>
          </w:tcPr>
          <w:p>
            <w:pPr>
              <w:ind w:left="120"/>
              <w:spacing w:after="0" w:line="196" w:lineRule="exact"/>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45,218</w:t>
            </w:r>
          </w:p>
        </w:tc>
        <w:tc>
          <w:tcPr>
            <w:tcW w:w="220" w:type="dxa"/>
            <w:vAlign w:val="bottom"/>
            <w:tcBorders>
              <w:bottom w:val="single" w:sz="8" w:color="EEF2F7"/>
            </w:tcBorders>
            <w:shd w:val="clear" w:color="auto" w:fill="EEF2F7"/>
          </w:tcPr>
          <w:p>
            <w:pPr>
              <w:spacing w:after="0"/>
              <w:rPr>
                <w:sz w:val="20"/>
                <w:szCs w:val="20"/>
                <w:color w:val="auto"/>
              </w:rPr>
            </w:pPr>
          </w:p>
        </w:tc>
        <w:tc>
          <w:tcPr>
            <w:tcW w:w="460" w:type="dxa"/>
            <w:vAlign w:val="bottom"/>
            <w:tcBorders>
              <w:bottom w:val="single" w:sz="8" w:color="auto"/>
            </w:tcBorders>
            <w:shd w:val="clear" w:color="auto" w:fill="EEF2F7"/>
          </w:tcPr>
          <w:p>
            <w:pPr>
              <w:spacing w:after="0"/>
              <w:rPr>
                <w:sz w:val="20"/>
                <w:szCs w:val="20"/>
                <w:color w:val="auto"/>
              </w:rPr>
            </w:pPr>
          </w:p>
        </w:tc>
        <w:tc>
          <w:tcPr>
            <w:tcW w:w="98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45,642</w:t>
            </w:r>
          </w:p>
        </w:tc>
        <w:tc>
          <w:tcPr>
            <w:tcW w:w="100" w:type="dxa"/>
            <w:vAlign w:val="bottom"/>
            <w:tcBorders>
              <w:bottom w:val="single" w:sz="8" w:color="EEF2F7"/>
            </w:tcBorders>
            <w:shd w:val="clear" w:color="auto" w:fill="EEF2F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ind w:left="1000" w:right="500" w:hanging="483"/>
        <w:spacing w:after="0" w:line="284" w:lineRule="auto"/>
        <w:tabs>
          <w:tab w:leader="none" w:pos="1000" w:val="left"/>
        </w:tabs>
        <w:numPr>
          <w:ilvl w:val="0"/>
          <w:numId w:val="9"/>
        </w:numPr>
        <w:rPr>
          <w:rFonts w:ascii="Times New Roman" w:cs="Times New Roman" w:eastAsia="Times New Roman" w:hAnsi="Times New Roman"/>
          <w:sz w:val="14"/>
          <w:szCs w:val="14"/>
          <w:color w:val="00002D"/>
        </w:rPr>
      </w:pPr>
      <w:r>
        <w:rPr>
          <w:rFonts w:ascii="Arial" w:cs="Arial" w:eastAsia="Arial" w:hAnsi="Arial"/>
          <w:sz w:val="14"/>
          <w:szCs w:val="14"/>
          <w:color w:val="00002D"/>
        </w:rPr>
        <w:t>Beginning January 1, 2026, in compliance with U.K. privacy laws, all of our U.K. based websites get consent from users to collect their information via cookies and other technologies to track our average monthly unique users.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Monthly Sessions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We define monthly sessions as the number of distinct visits to our websites that include a Visitor Action that take place each month within a given time frame, as measured and defined by GA4. We calculate average monthly sessions as the sum of the monthly sessions in a defined period, divided by the number of months in that period.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We are subject to evolving privacy laws governing cookies and tracking technologies. For example, in the U.K. informed consent is required for the placement of certain cookies or similar tracking technologies on an individual’s device. Consent is tightly defined and includes a prohibition on pre-checked consents and a requirement to obtain separate consents for each type of cookie or similar technology. As a result of privacy regulations that require user consent for tracking technologies, such as those within the U.K., our ability to identify and measure our average monthly sessions is more limited, which could result in an undercount of actual average monthly sessions. Conversely, interactions with our websites generated by bots and other automated mechanisms may inflate GA4 data, which could lead to an overcount of average monthly sessions.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60" w:type="dxa"/>
            <w:vAlign w:val="bottom"/>
            <w:vMerge w:val="restart"/>
          </w:tcPr>
          <w:p>
            <w:pPr>
              <w:spacing w:after="0"/>
              <w:rPr>
                <w:sz w:val="14"/>
                <w:szCs w:val="14"/>
                <w:color w:val="auto"/>
              </w:rPr>
            </w:pPr>
          </w:p>
        </w:tc>
        <w:tc>
          <w:tcPr>
            <w:tcW w:w="212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40" w:type="dxa"/>
            <w:vAlign w:val="bottom"/>
            <w:tcBorders>
              <w:bottom w:val="single" w:sz="8" w:color="auto"/>
            </w:tcBorders>
          </w:tcPr>
          <w:p>
            <w:pPr>
              <w:jc w:val="right"/>
              <w:ind w:right="421"/>
              <w:spacing w:after="0" w:line="156" w:lineRule="exact"/>
              <w:rPr>
                <w:sz w:val="20"/>
                <w:szCs w:val="20"/>
                <w:color w:val="auto"/>
              </w:rPr>
            </w:pPr>
            <w:r>
              <w:rPr>
                <w:rFonts w:ascii="Arial" w:cs="Arial" w:eastAsia="Arial" w:hAnsi="Arial"/>
                <w:sz w:val="14"/>
                <w:szCs w:val="14"/>
                <w:b w:val="1"/>
                <w:bCs w:val="1"/>
                <w:color w:val="auto"/>
              </w:rPr>
              <w:t xml:space="preserve">2026 </w:t>
            </w:r>
            <w:r>
              <w:rPr>
                <w:rFonts w:ascii="Arial" w:cs="Arial" w:eastAsia="Arial" w:hAnsi="Arial"/>
                <w:sz w:val="18"/>
                <w:szCs w:val="18"/>
                <w:b w:val="1"/>
                <w:bCs w:val="1"/>
                <w:color w:val="auto"/>
                <w:vertAlign w:val="superscript"/>
              </w:rPr>
              <w:t>(1)</w:t>
            </w: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ind w:right="141"/>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7"/>
              </w:rPr>
              <w:t>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EEF2F7"/>
          </w:tcPr>
          <w:p>
            <w:pPr>
              <w:spacing w:after="0" w:line="202" w:lineRule="exact"/>
              <w:rPr>
                <w:sz w:val="20"/>
                <w:szCs w:val="20"/>
                <w:color w:val="auto"/>
              </w:rPr>
            </w:pPr>
            <w:r>
              <w:rPr>
                <w:rFonts w:ascii="Arial" w:cs="Arial" w:eastAsia="Arial" w:hAnsi="Arial"/>
                <w:sz w:val="18"/>
                <w:szCs w:val="18"/>
                <w:color w:val="auto"/>
              </w:rPr>
              <w:t>U.S.</w:t>
            </w:r>
          </w:p>
        </w:tc>
        <w:tc>
          <w:tcPr>
            <w:tcW w:w="14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90,641</w:t>
            </w:r>
          </w:p>
        </w:tc>
        <w:tc>
          <w:tcPr>
            <w:tcW w:w="220" w:type="dxa"/>
            <w:vAlign w:val="bottom"/>
            <w:shd w:val="clear" w:color="auto" w:fill="EEF2F7"/>
          </w:tcPr>
          <w:p>
            <w:pPr>
              <w:spacing w:after="0"/>
              <w:rPr>
                <w:sz w:val="17"/>
                <w:szCs w:val="17"/>
                <w:color w:val="auto"/>
              </w:rPr>
            </w:pPr>
          </w:p>
        </w:tc>
        <w:tc>
          <w:tcPr>
            <w:tcW w:w="460" w:type="dxa"/>
            <w:vAlign w:val="bottom"/>
            <w:shd w:val="clear" w:color="auto" w:fill="EEF2F7"/>
          </w:tcPr>
          <w:p>
            <w:pPr>
              <w:spacing w:after="0"/>
              <w:rPr>
                <w:sz w:val="17"/>
                <w:szCs w:val="17"/>
                <w:color w:val="auto"/>
              </w:rPr>
            </w:pPr>
          </w:p>
        </w:tc>
        <w:tc>
          <w:tcPr>
            <w:tcW w:w="9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85,716</w:t>
            </w: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18,698</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00" w:type="dxa"/>
            <w:vAlign w:val="bottom"/>
            <w:tcBorders>
              <w:bottom w:val="single" w:sz="8" w:color="EEF2F7"/>
            </w:tcBorders>
            <w:gridSpan w:val="2"/>
            <w:shd w:val="clear" w:color="auto" w:fill="EEF2F7"/>
          </w:tcPr>
          <w:p>
            <w:pPr>
              <w:ind w:left="120"/>
              <w:spacing w:after="0" w:line="196" w:lineRule="exact"/>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109,339</w:t>
            </w:r>
          </w:p>
        </w:tc>
        <w:tc>
          <w:tcPr>
            <w:tcW w:w="220" w:type="dxa"/>
            <w:vAlign w:val="bottom"/>
            <w:tcBorders>
              <w:bottom w:val="single" w:sz="8" w:color="EEF2F7"/>
            </w:tcBorders>
            <w:shd w:val="clear" w:color="auto" w:fill="EEF2F7"/>
          </w:tcPr>
          <w:p>
            <w:pPr>
              <w:spacing w:after="0"/>
              <w:rPr>
                <w:sz w:val="20"/>
                <w:szCs w:val="20"/>
                <w:color w:val="auto"/>
              </w:rPr>
            </w:pPr>
          </w:p>
        </w:tc>
        <w:tc>
          <w:tcPr>
            <w:tcW w:w="460" w:type="dxa"/>
            <w:vAlign w:val="bottom"/>
            <w:tcBorders>
              <w:bottom w:val="single" w:sz="8" w:color="auto"/>
            </w:tcBorders>
            <w:shd w:val="clear" w:color="auto" w:fill="EEF2F7"/>
          </w:tcPr>
          <w:p>
            <w:pPr>
              <w:spacing w:after="0"/>
              <w:rPr>
                <w:sz w:val="20"/>
                <w:szCs w:val="20"/>
                <w:color w:val="auto"/>
              </w:rPr>
            </w:pPr>
          </w:p>
        </w:tc>
        <w:tc>
          <w:tcPr>
            <w:tcW w:w="98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107,941</w:t>
            </w:r>
          </w:p>
        </w:tc>
        <w:tc>
          <w:tcPr>
            <w:tcW w:w="100" w:type="dxa"/>
            <w:vAlign w:val="bottom"/>
            <w:tcBorders>
              <w:bottom w:val="single" w:sz="8" w:color="EEF2F7"/>
            </w:tcBorders>
            <w:shd w:val="clear" w:color="auto" w:fill="EEF2F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ind w:left="1000" w:right="500" w:hanging="483"/>
        <w:spacing w:after="0" w:line="284" w:lineRule="auto"/>
        <w:tabs>
          <w:tab w:leader="none" w:pos="1000" w:val="left"/>
        </w:tabs>
        <w:numPr>
          <w:ilvl w:val="0"/>
          <w:numId w:val="10"/>
        </w:numPr>
        <w:rPr>
          <w:rFonts w:ascii="Times New Roman" w:cs="Times New Roman" w:eastAsia="Times New Roman" w:hAnsi="Times New Roman"/>
          <w:sz w:val="14"/>
          <w:szCs w:val="14"/>
          <w:color w:val="00002D"/>
        </w:rPr>
      </w:pPr>
      <w:r>
        <w:rPr>
          <w:rFonts w:ascii="Arial" w:cs="Arial" w:eastAsia="Arial" w:hAnsi="Arial"/>
          <w:sz w:val="14"/>
          <w:szCs w:val="14"/>
          <w:color w:val="00002D"/>
        </w:rPr>
        <w:t>Beginning January 1, 2026, in compliance with U.K. privacy laws, all of our U.K. based websites get consent from users to collect their information via cookies and other technologies to track our average monthly sessions.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Number of Paying Dealers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We define a paying dealer as a dealer account with an active, paid subscription at the end of a defined period. The number of paying dealers we have is important to us and we believe it provides valuable information to investors because it is indicative of the value proposition of our products, as well as our sales and marketing success and opportunity, including our ability to retain paying dealers and develop new dealer relationships.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As of March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60" w:type="dxa"/>
            <w:vAlign w:val="bottom"/>
            <w:tcBorders>
              <w:bottom w:val="single" w:sz="8" w:color="auto"/>
            </w:tcBorders>
            <w:vMerge w:val="continue"/>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36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U.S.</w:t>
            </w:r>
          </w:p>
        </w:tc>
        <w:tc>
          <w:tcPr>
            <w:tcW w:w="4980" w:type="dxa"/>
            <w:vAlign w:val="bottom"/>
            <w:gridSpan w:val="3"/>
            <w:shd w:val="clear" w:color="auto" w:fill="EEF2F7"/>
          </w:tcPr>
          <w:p>
            <w:pPr>
              <w:jc w:val="right"/>
              <w:spacing w:after="0" w:line="196" w:lineRule="exact"/>
              <w:rPr>
                <w:sz w:val="20"/>
                <w:szCs w:val="20"/>
                <w:color w:val="auto"/>
              </w:rPr>
            </w:pPr>
            <w:r>
              <w:rPr>
                <w:rFonts w:ascii="Arial" w:cs="Arial" w:eastAsia="Arial" w:hAnsi="Arial"/>
                <w:sz w:val="18"/>
                <w:szCs w:val="18"/>
                <w:color w:val="auto"/>
              </w:rPr>
              <w:t>26,116</w:t>
            </w:r>
          </w:p>
        </w:tc>
        <w:tc>
          <w:tcPr>
            <w:tcW w:w="220" w:type="dxa"/>
            <w:vAlign w:val="bottom"/>
            <w:shd w:val="clear" w:color="auto" w:fill="EEF2F7"/>
          </w:tcPr>
          <w:p>
            <w:pPr>
              <w:spacing w:after="0"/>
              <w:rPr>
                <w:sz w:val="17"/>
                <w:szCs w:val="17"/>
                <w:color w:val="auto"/>
              </w:rPr>
            </w:pPr>
          </w:p>
        </w:tc>
        <w:tc>
          <w:tcPr>
            <w:tcW w:w="480" w:type="dxa"/>
            <w:vAlign w:val="bottom"/>
            <w:shd w:val="clear" w:color="auto" w:fill="EEF2F7"/>
          </w:tcPr>
          <w:p>
            <w:pPr>
              <w:spacing w:after="0"/>
              <w:rPr>
                <w:sz w:val="17"/>
                <w:szCs w:val="17"/>
                <w:color w:val="auto"/>
              </w:rPr>
            </w:pPr>
          </w:p>
        </w:tc>
        <w:tc>
          <w:tcPr>
            <w:tcW w:w="96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25,153</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540" w:type="dxa"/>
            <w:vAlign w:val="bottom"/>
            <w:gridSpan w:val="2"/>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8,480</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7,219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60" w:type="dxa"/>
            <w:vAlign w:val="bottom"/>
            <w:shd w:val="clear" w:color="auto" w:fill="EEF2F7"/>
          </w:tcPr>
          <w:p>
            <w:pPr>
              <w:ind w:left="120"/>
              <w:spacing w:after="0" w:line="196" w:lineRule="exact"/>
              <w:rPr>
                <w:sz w:val="20"/>
                <w:szCs w:val="20"/>
                <w:color w:val="auto"/>
              </w:rPr>
            </w:pPr>
            <w:r>
              <w:rPr>
                <w:rFonts w:ascii="Arial" w:cs="Arial" w:eastAsia="Arial" w:hAnsi="Arial"/>
                <w:sz w:val="18"/>
                <w:szCs w:val="18"/>
                <w:color w:val="auto"/>
              </w:rPr>
              <w:t>Total</w:t>
            </w:r>
          </w:p>
        </w:tc>
        <w:tc>
          <w:tcPr>
            <w:tcW w:w="4980" w:type="dxa"/>
            <w:vAlign w:val="bottom"/>
            <w:gridSpan w:val="3"/>
            <w:shd w:val="clear" w:color="auto" w:fill="EEF2F7"/>
          </w:tcPr>
          <w:p>
            <w:pPr>
              <w:jc w:val="right"/>
              <w:spacing w:after="0" w:line="196" w:lineRule="exact"/>
              <w:rPr>
                <w:sz w:val="20"/>
                <w:szCs w:val="20"/>
                <w:color w:val="auto"/>
              </w:rPr>
            </w:pPr>
            <w:r>
              <w:rPr>
                <w:rFonts w:ascii="Arial" w:cs="Arial" w:eastAsia="Arial" w:hAnsi="Arial"/>
                <w:sz w:val="18"/>
                <w:szCs w:val="18"/>
                <w:color w:val="auto"/>
              </w:rPr>
              <w:t>34,596</w:t>
            </w:r>
          </w:p>
        </w:tc>
        <w:tc>
          <w:tcPr>
            <w:tcW w:w="220" w:type="dxa"/>
            <w:vAlign w:val="bottom"/>
            <w:shd w:val="clear" w:color="auto" w:fill="EEF2F7"/>
          </w:tcPr>
          <w:p>
            <w:pPr>
              <w:spacing w:after="0"/>
              <w:rPr>
                <w:sz w:val="20"/>
                <w:szCs w:val="20"/>
                <w:color w:val="auto"/>
              </w:rPr>
            </w:pPr>
          </w:p>
        </w:tc>
        <w:tc>
          <w:tcPr>
            <w:tcW w:w="480" w:type="dxa"/>
            <w:vAlign w:val="bottom"/>
            <w:shd w:val="clear" w:color="auto" w:fill="EEF2F7"/>
          </w:tcPr>
          <w:p>
            <w:pPr>
              <w:spacing w:after="0"/>
              <w:rPr>
                <w:sz w:val="20"/>
                <w:szCs w:val="20"/>
                <w:color w:val="auto"/>
              </w:rPr>
            </w:pPr>
          </w:p>
        </w:tc>
        <w:tc>
          <w:tcPr>
            <w:tcW w:w="96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32,372</w:t>
            </w:r>
          </w:p>
        </w:tc>
        <w:tc>
          <w:tcPr>
            <w:tcW w:w="100" w:type="dxa"/>
            <w:vAlign w:val="bottom"/>
            <w:shd w:val="clear" w:color="auto" w:fill="EEF2F7"/>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3"/>
        </w:trPr>
        <w:tc>
          <w:tcPr>
            <w:tcW w:w="580" w:type="dxa"/>
            <w:vAlign w:val="bottom"/>
          </w:tcPr>
          <w:p>
            <w:pPr>
              <w:spacing w:after="0"/>
              <w:rPr>
                <w:sz w:val="24"/>
                <w:szCs w:val="24"/>
                <w:color w:val="auto"/>
              </w:rPr>
            </w:pPr>
          </w:p>
        </w:tc>
        <w:tc>
          <w:tcPr>
            <w:tcW w:w="3360" w:type="dxa"/>
            <w:vAlign w:val="bottom"/>
            <w:tcBorders>
              <w:top w:val="single" w:sz="8" w:color="EEF2F7"/>
            </w:tcBorders>
          </w:tcPr>
          <w:p>
            <w:pPr>
              <w:spacing w:after="0"/>
              <w:rPr>
                <w:sz w:val="24"/>
                <w:szCs w:val="24"/>
                <w:color w:val="auto"/>
              </w:rPr>
            </w:pPr>
          </w:p>
        </w:tc>
        <w:tc>
          <w:tcPr>
            <w:tcW w:w="3380" w:type="dxa"/>
            <w:vAlign w:val="bottom"/>
            <w:tcBorders>
              <w:top w:val="single" w:sz="8" w:color="EEF2F7"/>
            </w:tcBorders>
          </w:tcPr>
          <w:p>
            <w:pPr>
              <w:jc w:val="right"/>
              <w:ind w:right="1510"/>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EEF2F7"/>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EEF2F7"/>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EEF2F7"/>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-925195</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-908050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Quarterly Average Revenue per Subscribing Dealer (QARSD)</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We define QARSD, which is measured at the end of a fiscal quarter, as the revenue primarily from subscription products during that trailing quarter divided by the average number of paying dealers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U.S.</w:t>
            </w:r>
          </w:p>
        </w:tc>
        <w:tc>
          <w:tcPr>
            <w:tcW w:w="460" w:type="dxa"/>
            <w:vAlign w:val="bottom"/>
            <w:gridSpan w:val="2"/>
            <w:shd w:val="clear" w:color="auto" w:fill="EEF2F7"/>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7,996</w:t>
            </w:r>
          </w:p>
        </w:tc>
        <w:tc>
          <w:tcPr>
            <w:tcW w:w="620" w:type="dxa"/>
            <w:vAlign w:val="bottom"/>
            <w:gridSpan w:val="2"/>
            <w:shd w:val="clear" w:color="auto" w:fill="EEF2F7"/>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7,369</w:t>
            </w: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2,468</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EEF2F7"/>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6,647</w:t>
            </w:r>
          </w:p>
        </w:tc>
        <w:tc>
          <w:tcPr>
            <w:tcW w:w="620" w:type="dxa"/>
            <w:vAlign w:val="bottom"/>
            <w:gridSpan w:val="2"/>
            <w:shd w:val="clear" w:color="auto" w:fill="EEF2F7"/>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6,173</w:t>
            </w:r>
          </w:p>
        </w:tc>
        <w:tc>
          <w:tcPr>
            <w:tcW w:w="100" w:type="dxa"/>
            <w:vAlign w:val="bottom"/>
            <w:shd w:val="clear" w:color="auto" w:fill="EEF2F7"/>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Adjusted EBITDA from Continuing Operations</w:t>
      </w:r>
    </w:p>
    <w:p>
      <w:pPr>
        <w:spacing w:after="0" w:line="216"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00002D"/>
        </w:rPr>
        <w:t>To provide investors with additional information regarding our financial results, we have presented within this Quarterly Report Adjusted EBITDA from continuing operations, which is a non</w:t>
      </w:r>
      <w:r>
        <w:rPr>
          <w:rFonts w:ascii="MS PGothic" w:cs="MS PGothic" w:eastAsia="MS PGothic" w:hAnsi="MS PGothic"/>
          <w:sz w:val="18"/>
          <w:szCs w:val="18"/>
          <w:color w:val="00002D"/>
        </w:rPr>
        <w:t>‑</w:t>
      </w:r>
      <w:r>
        <w:rPr>
          <w:rFonts w:ascii="Arial" w:cs="Arial" w:eastAsia="Arial" w:hAnsi="Arial"/>
          <w:sz w:val="18"/>
          <w:szCs w:val="18"/>
          <w:color w:val="00002D"/>
        </w:rPr>
        <w:t>GAAP financial measure. This non</w:t>
      </w:r>
      <w:r>
        <w:rPr>
          <w:rFonts w:ascii="MS PGothic" w:cs="MS PGothic" w:eastAsia="MS PGothic" w:hAnsi="MS PGothic"/>
          <w:sz w:val="18"/>
          <w:szCs w:val="18"/>
          <w:color w:val="00002D"/>
        </w:rPr>
        <w:t>‑</w:t>
      </w:r>
      <w:r>
        <w:rPr>
          <w:rFonts w:ascii="Arial" w:cs="Arial" w:eastAsia="Arial" w:hAnsi="Arial"/>
          <w:sz w:val="18"/>
          <w:szCs w:val="18"/>
          <w:color w:val="00002D"/>
        </w:rPr>
        <w:t>GAAP financial measure is not based on any standardized methodology prescribed by GAAP, and is not necessarily comparable to any similarly titled measures presented by other companies.</w:t>
      </w:r>
    </w:p>
    <w:p>
      <w:pPr>
        <w:spacing w:after="0" w:line="181"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00002D"/>
        </w:rPr>
        <w:t>We define Adjusted EBITDA from continuing operations as net income from continuing operations, adjusted to exclude: depreciation and amortization, stock</w:t>
      </w:r>
      <w:r>
        <w:rPr>
          <w:rFonts w:ascii="MS PGothic" w:cs="MS PGothic" w:eastAsia="MS PGothic" w:hAnsi="MS PGothic"/>
          <w:sz w:val="18"/>
          <w:szCs w:val="18"/>
          <w:color w:val="00002D"/>
        </w:rPr>
        <w:t>‑</w:t>
      </w:r>
      <w:r>
        <w:rPr>
          <w:rFonts w:ascii="Arial" w:cs="Arial" w:eastAsia="Arial" w:hAnsi="Arial"/>
          <w:sz w:val="18"/>
          <w:szCs w:val="18"/>
          <w:color w:val="00002D"/>
        </w:rPr>
        <w:t>based compensation expense, transaction-related expenses, impairments, other income, net, and provision for income taxes.</w:t>
      </w:r>
    </w:p>
    <w:p>
      <w:pPr>
        <w:spacing w:after="0" w:line="182" w:lineRule="exact"/>
        <w:rPr>
          <w:sz w:val="20"/>
          <w:szCs w:val="20"/>
          <w:color w:val="auto"/>
        </w:rPr>
      </w:pPr>
    </w:p>
    <w:p>
      <w:pPr>
        <w:jc w:val="both"/>
        <w:spacing w:after="0" w:line="211" w:lineRule="exact"/>
        <w:rPr>
          <w:sz w:val="20"/>
          <w:szCs w:val="20"/>
          <w:color w:val="auto"/>
        </w:rPr>
      </w:pPr>
      <w:r>
        <w:rPr>
          <w:rFonts w:ascii="Arial" w:cs="Arial" w:eastAsia="Arial" w:hAnsi="Arial"/>
          <w:sz w:val="18"/>
          <w:szCs w:val="18"/>
          <w:color w:val="00002D"/>
        </w:rPr>
        <w:t>We use Adjusted EBITDA from continuing operations within this Quarterly Report because it is a key measure used by our management and Board of Directors to understand and evaluate our operating performance, generate future operating plans, and make strategic decisions regarding the allocation of capital. We believe Adjusted EBITDA from continuing operations helps identify underlying trends in our business that could otherwise be masked by the effect of the expenses that we exclude. Accordingly, we believe that Adjusted EBITDA from continuing operations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00002D"/>
        </w:rPr>
        <w:t>‑</w:t>
      </w:r>
      <w:r>
        <w:rPr>
          <w:rFonts w:ascii="Arial" w:cs="Arial" w:eastAsia="Arial" w:hAnsi="Arial"/>
          <w:sz w:val="18"/>
          <w:szCs w:val="18"/>
          <w:color w:val="00002D"/>
        </w:rPr>
        <w:t>making.</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Our Adjusted EBITDA from continuing operations is not prepared in accordance with GAAP, and should not be considered in isolation of, or as an alternative to, measures prepared in accordance with GAAP. There are a number of limitations related to the use of Adjusted EBITDA from continuing operations rather than net income from continuing operations, which is the most directly comparable GAAP equivalent. Some of these limitations are that Adjusted EBITDA from continuing operations excludes:</w:t>
      </w:r>
    </w:p>
    <w:p>
      <w:pPr>
        <w:spacing w:after="0" w:line="134" w:lineRule="exact"/>
        <w:rPr>
          <w:sz w:val="20"/>
          <w:szCs w:val="20"/>
          <w:color w:val="auto"/>
        </w:rPr>
      </w:pPr>
    </w:p>
    <w:p>
      <w:pPr>
        <w:ind w:left="900" w:hanging="383"/>
        <w:spacing w:after="0" w:line="241" w:lineRule="exact"/>
        <w:tabs>
          <w:tab w:leader="none" w:pos="900" w:val="left"/>
        </w:tabs>
        <w:numPr>
          <w:ilvl w:val="0"/>
          <w:numId w:val="11"/>
        </w:numPr>
        <w:rPr>
          <w:rFonts w:ascii="Times New Roman" w:cs="Times New Roman" w:eastAsia="Times New Roman" w:hAnsi="Times New Roman"/>
          <w:sz w:val="18"/>
          <w:szCs w:val="18"/>
          <w:color w:val="00002D"/>
        </w:rPr>
      </w:pPr>
      <w:r>
        <w:rPr>
          <w:rFonts w:ascii="Arial" w:cs="Arial" w:eastAsia="Arial" w:hAnsi="Arial"/>
          <w:sz w:val="18"/>
          <w:szCs w:val="18"/>
          <w:color w:val="00002D"/>
        </w:rPr>
        <w:t>depreciation and amortization expense and, although these are non</w:t>
      </w:r>
      <w:r>
        <w:rPr>
          <w:rFonts w:ascii="MS PGothic" w:cs="MS PGothic" w:eastAsia="MS PGothic" w:hAnsi="MS PGothic"/>
          <w:sz w:val="18"/>
          <w:szCs w:val="18"/>
          <w:color w:val="00002D"/>
        </w:rPr>
        <w:t>‑</w:t>
      </w:r>
      <w:r>
        <w:rPr>
          <w:rFonts w:ascii="Arial" w:cs="Arial" w:eastAsia="Arial" w:hAnsi="Arial"/>
          <w:sz w:val="18"/>
          <w:szCs w:val="18"/>
          <w:color w:val="00002D"/>
        </w:rPr>
        <w:t>cash expenses, the assets being depreciated may have to be replaced in the future;</w:t>
      </w:r>
    </w:p>
    <w:p>
      <w:pPr>
        <w:spacing w:after="0" w:line="140" w:lineRule="exact"/>
        <w:rPr>
          <w:rFonts w:ascii="Times New Roman" w:cs="Times New Roman" w:eastAsia="Times New Roman" w:hAnsi="Times New Roman"/>
          <w:sz w:val="18"/>
          <w:szCs w:val="18"/>
          <w:color w:val="00002D"/>
        </w:rPr>
      </w:pPr>
    </w:p>
    <w:p>
      <w:pPr>
        <w:ind w:left="900" w:hanging="383"/>
        <w:spacing w:after="0" w:line="241" w:lineRule="exact"/>
        <w:tabs>
          <w:tab w:leader="none" w:pos="900" w:val="left"/>
        </w:tabs>
        <w:numPr>
          <w:ilvl w:val="0"/>
          <w:numId w:val="11"/>
        </w:numPr>
        <w:rPr>
          <w:rFonts w:ascii="Times New Roman" w:cs="Times New Roman" w:eastAsia="Times New Roman" w:hAnsi="Times New Roman"/>
          <w:sz w:val="18"/>
          <w:szCs w:val="18"/>
          <w:color w:val="00002D"/>
        </w:rPr>
      </w:pPr>
      <w:r>
        <w:rPr>
          <w:rFonts w:ascii="Arial" w:cs="Arial" w:eastAsia="Arial" w:hAnsi="Arial"/>
          <w:sz w:val="18"/>
          <w:szCs w:val="18"/>
          <w:color w:val="00002D"/>
        </w:rPr>
        <w:t>stock</w:t>
      </w:r>
      <w:r>
        <w:rPr>
          <w:rFonts w:ascii="MS PGothic" w:cs="MS PGothic" w:eastAsia="MS PGothic" w:hAnsi="MS PGothic"/>
          <w:sz w:val="18"/>
          <w:szCs w:val="18"/>
          <w:color w:val="00002D"/>
        </w:rPr>
        <w:t>‑</w:t>
      </w:r>
      <w:r>
        <w:rPr>
          <w:rFonts w:ascii="Arial" w:cs="Arial" w:eastAsia="Arial" w:hAnsi="Arial"/>
          <w:sz w:val="18"/>
          <w:szCs w:val="18"/>
          <w:color w:val="00002D"/>
        </w:rPr>
        <w:t>based compensation expense, which will be, for the foreseeable future, a significant recurring expense for our business and an important part of our compensation strategy;</w:t>
      </w:r>
    </w:p>
    <w:p>
      <w:pPr>
        <w:spacing w:after="0" w:line="180" w:lineRule="exact"/>
        <w:rPr>
          <w:rFonts w:ascii="Times New Roman" w:cs="Times New Roman" w:eastAsia="Times New Roman" w:hAnsi="Times New Roman"/>
          <w:sz w:val="18"/>
          <w:szCs w:val="18"/>
          <w:color w:val="00002D"/>
        </w:rPr>
      </w:pPr>
    </w:p>
    <w:p>
      <w:pPr>
        <w:jc w:val="both"/>
        <w:ind w:left="900" w:hanging="383"/>
        <w:spacing w:after="0" w:line="252" w:lineRule="auto"/>
        <w:tabs>
          <w:tab w:leader="none" w:pos="900" w:val="left"/>
        </w:tabs>
        <w:numPr>
          <w:ilvl w:val="0"/>
          <w:numId w:val="11"/>
        </w:numPr>
        <w:rPr>
          <w:rFonts w:ascii="Times New Roman" w:cs="Times New Roman" w:eastAsia="Times New Roman" w:hAnsi="Times New Roman"/>
          <w:sz w:val="18"/>
          <w:szCs w:val="18"/>
          <w:color w:val="00002D"/>
        </w:rPr>
      </w:pPr>
      <w:r>
        <w:rPr>
          <w:rFonts w:ascii="Arial" w:cs="Arial" w:eastAsia="Arial" w:hAnsi="Arial"/>
          <w:sz w:val="18"/>
          <w:szCs w:val="18"/>
          <w:color w:val="00002D"/>
        </w:rPr>
        <w:t>transaction-related expenses incurred by us during a reporting period, which are inclusive of certain transaction and integration costs associated with acquisitions that have been completed as of the filing date of our annual or quarterly report (as applicable) relating to such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0" w:hanging="383"/>
        <w:spacing w:after="0" w:line="270" w:lineRule="auto"/>
        <w:tabs>
          <w:tab w:leader="none" w:pos="900" w:val="left"/>
        </w:tabs>
        <w:numPr>
          <w:ilvl w:val="0"/>
          <w:numId w:val="12"/>
        </w:numPr>
        <w:rPr>
          <w:rFonts w:ascii="Times New Roman" w:cs="Times New Roman" w:eastAsia="Times New Roman" w:hAnsi="Times New Roman"/>
          <w:sz w:val="18"/>
          <w:szCs w:val="18"/>
          <w:color w:val="00002D"/>
        </w:rPr>
      </w:pPr>
      <w:r>
        <w:rPr>
          <w:rFonts w:ascii="Arial" w:cs="Arial" w:eastAsia="Arial" w:hAnsi="Arial"/>
          <w:sz w:val="18"/>
          <w:szCs w:val="18"/>
          <w:color w:val="00002D"/>
        </w:rPr>
        <w:t>impairments, which include non-cash one-time expenses associated with the impairments of operating right of use assets and certain other assets, which may have to be replaced in the future;</w:t>
      </w:r>
    </w:p>
    <w:p>
      <w:pPr>
        <w:spacing w:after="0" w:line="154" w:lineRule="exact"/>
        <w:rPr>
          <w:rFonts w:ascii="Times New Roman" w:cs="Times New Roman" w:eastAsia="Times New Roman" w:hAnsi="Times New Roman"/>
          <w:sz w:val="18"/>
          <w:szCs w:val="18"/>
          <w:color w:val="00002D"/>
        </w:rPr>
      </w:pPr>
    </w:p>
    <w:p>
      <w:pPr>
        <w:ind w:left="900" w:right="20" w:hanging="383"/>
        <w:spacing w:after="0" w:line="270" w:lineRule="auto"/>
        <w:tabs>
          <w:tab w:leader="none" w:pos="900" w:val="left"/>
        </w:tabs>
        <w:numPr>
          <w:ilvl w:val="0"/>
          <w:numId w:val="12"/>
        </w:numPr>
        <w:rPr>
          <w:rFonts w:ascii="Times New Roman" w:cs="Times New Roman" w:eastAsia="Times New Roman" w:hAnsi="Times New Roman"/>
          <w:sz w:val="18"/>
          <w:szCs w:val="18"/>
          <w:color w:val="00002D"/>
        </w:rPr>
      </w:pPr>
      <w:r>
        <w:rPr>
          <w:rFonts w:ascii="Arial" w:cs="Arial" w:eastAsia="Arial" w:hAnsi="Arial"/>
          <w:sz w:val="18"/>
          <w:szCs w:val="18"/>
          <w:color w:val="00002D"/>
        </w:rPr>
        <w:t>other income, net, which consists primarily of interest income earned on our cash, cash equivalents, and foreign exchange gains and losses; and</w:t>
      </w:r>
    </w:p>
    <w:p>
      <w:pPr>
        <w:spacing w:after="0" w:line="154" w:lineRule="exact"/>
        <w:rPr>
          <w:rFonts w:ascii="Times New Roman" w:cs="Times New Roman" w:eastAsia="Times New Roman" w:hAnsi="Times New Roman"/>
          <w:sz w:val="18"/>
          <w:szCs w:val="18"/>
          <w:color w:val="00002D"/>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00002D"/>
        </w:rPr>
      </w:pPr>
      <w:r>
        <w:rPr>
          <w:rFonts w:ascii="Arial" w:cs="Arial" w:eastAsia="Arial" w:hAnsi="Arial"/>
          <w:sz w:val="18"/>
          <w:szCs w:val="18"/>
          <w:color w:val="00002D"/>
        </w:rPr>
        <w:t>the provision for income taxes.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In addition, other companies, including companies in our industry, may calculate Adjusted EBITDA from continuing operations differently, which reduces its usefulness as a comparative measure.</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Because of these limitations, we consider, and you should consider, Adjusted EBITDA from continuing operations together with other operating and financial performance measures presented in accordance with GAAP.</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For the three months ended March 31, 2026 and 2025, the following table presents a reconciliation of Adjusted EBITDA from continuing operations to net income from continuing operations, the most directly comparable measure calculated in accordance with GAAP, for each of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40" w:type="dxa"/>
            <w:vAlign w:val="bottom"/>
            <w:gridSpan w:val="6"/>
          </w:tcPr>
          <w:p>
            <w:pPr>
              <w:jc w:val="center"/>
              <w:ind w:right="10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96"/>
        </w:trPr>
        <w:tc>
          <w:tcPr>
            <w:tcW w:w="5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4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rPr>
              <w:t>(dollars in thousands)</w:t>
            </w:r>
          </w:p>
        </w:tc>
      </w:tr>
      <w:tr>
        <w:trPr>
          <w:trHeight w:val="203"/>
        </w:trPr>
        <w:tc>
          <w:tcPr>
            <w:tcW w:w="580" w:type="dxa"/>
            <w:vAlign w:val="bottom"/>
          </w:tcPr>
          <w:p>
            <w:pPr>
              <w:spacing w:after="0"/>
              <w:rPr>
                <w:sz w:val="17"/>
                <w:szCs w:val="17"/>
                <w:color w:val="auto"/>
              </w:rPr>
            </w:pPr>
          </w:p>
        </w:tc>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b w:val="1"/>
                <w:bCs w:val="1"/>
                <w:color w:val="auto"/>
              </w:rPr>
              <w:t>Reconciliation of Adjusted EBITDA from continuing operations</w:t>
            </w: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spacing w:after="0"/>
              <w:rPr>
                <w:sz w:val="17"/>
                <w:szCs w:val="17"/>
                <w:color w:val="auto"/>
              </w:rPr>
            </w:pP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32,228</w:t>
            </w:r>
          </w:p>
        </w:tc>
        <w:tc>
          <w:tcPr>
            <w:tcW w:w="26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42,074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7,170</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5,679</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13,272</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12,383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Transaction-related expenses</w:t>
            </w:r>
          </w:p>
        </w:tc>
        <w:tc>
          <w:tcPr>
            <w:tcW w:w="320" w:type="dxa"/>
            <w:vAlign w:val="bottom"/>
            <w:shd w:val="clear" w:color="auto" w:fill="EEF2F7"/>
          </w:tcPr>
          <w:p>
            <w:pPr>
              <w:spacing w:after="0"/>
              <w:rPr>
                <w:sz w:val="17"/>
                <w:szCs w:val="17"/>
                <w:color w:val="auto"/>
              </w:rPr>
            </w:pPr>
          </w:p>
        </w:tc>
        <w:tc>
          <w:tcPr>
            <w:tcW w:w="1360" w:type="dxa"/>
            <w:vAlign w:val="bottom"/>
            <w:gridSpan w:val="2"/>
            <w:shd w:val="clear" w:color="auto" w:fill="EEF2F7"/>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Impairments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19,711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shd w:val="clear" w:color="auto" w:fill="EEF2F7"/>
          </w:tcPr>
          <w:p>
            <w:pPr>
              <w:spacing w:after="0"/>
              <w:rPr>
                <w:sz w:val="17"/>
                <w:szCs w:val="17"/>
                <w:color w:val="auto"/>
              </w:rPr>
            </w:pPr>
          </w:p>
        </w:tc>
        <w:tc>
          <w:tcPr>
            <w:tcW w:w="1360" w:type="dxa"/>
            <w:vAlign w:val="bottom"/>
            <w:gridSpan w:val="2"/>
            <w:shd w:val="clear" w:color="auto" w:fill="EEF2F7"/>
          </w:tcPr>
          <w:p>
            <w:pPr>
              <w:jc w:val="right"/>
              <w:ind w:right="200"/>
              <w:spacing w:after="0" w:line="202" w:lineRule="exact"/>
              <w:rPr>
                <w:sz w:val="20"/>
                <w:szCs w:val="20"/>
                <w:color w:val="auto"/>
              </w:rPr>
            </w:pPr>
            <w:r>
              <w:rPr>
                <w:rFonts w:ascii="Arial" w:cs="Arial" w:eastAsia="Arial" w:hAnsi="Arial"/>
                <w:sz w:val="18"/>
                <w:szCs w:val="18"/>
                <w:color w:val="auto"/>
              </w:rPr>
              <w:t>(1,065)</w:t>
            </w:r>
          </w:p>
        </w:tc>
        <w:tc>
          <w:tcPr>
            <w:tcW w:w="380" w:type="dxa"/>
            <w:vAlign w:val="bottom"/>
            <w:shd w:val="clear" w:color="auto" w:fill="EEF2F7"/>
          </w:tcPr>
          <w:p>
            <w:pPr>
              <w:spacing w:after="0"/>
              <w:rPr>
                <w:sz w:val="17"/>
                <w:szCs w:val="17"/>
                <w:color w:val="auto"/>
              </w:rPr>
            </w:pPr>
          </w:p>
        </w:tc>
        <w:tc>
          <w:tcPr>
            <w:tcW w:w="114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(2,796)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8,916</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11,376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6900" w:type="dxa"/>
            <w:vAlign w:val="bottom"/>
            <w:tcBorders>
              <w:bottom w:val="single" w:sz="8" w:color="EEF2F7"/>
            </w:tcBorders>
            <w:shd w:val="clear" w:color="auto" w:fill="EEF2F7"/>
          </w:tcPr>
          <w:p>
            <w:pPr>
              <w:spacing w:after="0" w:line="196" w:lineRule="exact"/>
              <w:rPr>
                <w:sz w:val="20"/>
                <w:szCs w:val="20"/>
                <w:color w:val="auto"/>
              </w:rPr>
            </w:pPr>
            <w:r>
              <w:rPr>
                <w:rFonts w:ascii="Arial" w:cs="Arial" w:eastAsia="Arial" w:hAnsi="Arial"/>
                <w:sz w:val="18"/>
                <w:szCs w:val="18"/>
                <w:color w:val="auto"/>
              </w:rPr>
              <w:t>Adjusted EBITDA from continuing operations</w:t>
            </w:r>
          </w:p>
        </w:tc>
        <w:tc>
          <w:tcPr>
            <w:tcW w:w="320" w:type="dxa"/>
            <w:vAlign w:val="bottom"/>
            <w:tcBorders>
              <w:bottom w:val="single" w:sz="8" w:color="auto"/>
            </w:tcBorders>
            <w:shd w:val="clear" w:color="auto" w:fill="EEF2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80,232</w:t>
            </w:r>
          </w:p>
        </w:tc>
        <w:tc>
          <w:tcPr>
            <w:tcW w:w="260" w:type="dxa"/>
            <w:vAlign w:val="bottom"/>
            <w:tcBorders>
              <w:bottom w:val="single" w:sz="8" w:color="EEF2F7"/>
            </w:tcBorders>
            <w:shd w:val="clear" w:color="auto" w:fill="EEF2F7"/>
          </w:tcPr>
          <w:p>
            <w:pPr>
              <w:spacing w:after="0"/>
              <w:rPr>
                <w:sz w:val="20"/>
                <w:szCs w:val="20"/>
                <w:color w:val="auto"/>
              </w:rPr>
            </w:pPr>
          </w:p>
        </w:tc>
        <w:tc>
          <w:tcPr>
            <w:tcW w:w="380" w:type="dxa"/>
            <w:vAlign w:val="bottom"/>
            <w:tcBorders>
              <w:bottom w:val="single" w:sz="8" w:color="auto"/>
            </w:tcBorders>
            <w:shd w:val="clear" w:color="auto" w:fill="EEF2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68,718</w:t>
            </w:r>
          </w:p>
        </w:tc>
        <w:tc>
          <w:tcPr>
            <w:tcW w:w="100" w:type="dxa"/>
            <w:vAlign w:val="bottom"/>
            <w:tcBorders>
              <w:bottom w:val="single" w:sz="8" w:color="EEF2F7"/>
            </w:tcBorders>
            <w:shd w:val="clear" w:color="auto" w:fill="EEF2F7"/>
          </w:tcPr>
          <w:p>
            <w:pPr>
              <w:spacing w:after="0"/>
              <w:rPr>
                <w:sz w:val="20"/>
                <w:szCs w:val="20"/>
                <w:color w:val="auto"/>
              </w:rPr>
            </w:pPr>
          </w:p>
        </w:tc>
        <w:tc>
          <w:tcPr>
            <w:tcW w:w="560" w:type="dxa"/>
            <w:vAlign w:val="bottom"/>
          </w:tcPr>
          <w:p>
            <w:pPr>
              <w:spacing w:after="0"/>
              <w:rPr>
                <w:sz w:val="20"/>
                <w:szCs w:val="20"/>
                <w:color w:val="auto"/>
              </w:rPr>
            </w:pPr>
          </w:p>
        </w:tc>
      </w:tr>
      <w:tr>
        <w:trPr>
          <w:trHeight w:val="633"/>
        </w:trPr>
        <w:tc>
          <w:tcPr>
            <w:tcW w:w="7480" w:type="dxa"/>
            <w:vAlign w:val="bottom"/>
            <w:gridSpan w:val="2"/>
          </w:tcPr>
          <w:p>
            <w:pPr>
              <w:jc w:val="right"/>
              <w:ind w:right="167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-925195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-908050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Components of Unaudited Condensed Consolidated Income Statements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Revenue</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We derive our revenue from (i) dealer subscription fees, (ii) advertising from auto manufacturers and other brand advertisers, and (iii) partnerships with financing services companies.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00002D"/>
        </w:rPr>
        <w:t>Dealer Subscription Revenue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We offer multiple types of Listings packages to our dealers for our CarGurus platform (availability varies on our marketplaces): Restricted Listings, which is free; and various levels of Listings packages, each of which require a paid subscription under a monthly, quarterly, semiannual, or annual subscription basis.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Our dealer Listings subscription packages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features, and user review management platform. Only dealers subscribing to a paid Listings package receive access to certain additional features.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We also offer dealers subscribing to certain of our Listings packages additional exposure and lead enhancements, such as Audience Targeting. Through Audience Targeting, dealers can buy advertising that appears on other sites on the internet and/or on high-converting social media platforms. Such advertisements can be targeted by the user’s geography, search history, CarGurus website activity, and a number of other factors, allowing dealers to increase their visibility with in-market consumers and drive qualified traffic for dealers.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We also offer dealers subscribing to certain of our Listings packages other subscription products such as Digital Deal, which allows shoppers to complete much of the vehicle-purchase process online through the Dealers’ Listings page and gives dealers higher quality leads through upfront consumer-provided information.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We also offer dealers subscribing to certain of our Listings packages other subscription products such as Sell My Car, which allows dealers to pay for leads to receive direct access to shoppers actively looking to sell their vehicles. Dealers can acquire inventory from shoppers who are looking to sell directly through the CarGurus Sell My Car page.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00002D"/>
        </w:rPr>
        <w:t>Advertising Revenue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We offer non-dealer advertising to auto manufacturers and other brand advertisers sold on a cost-per-thousand impressions basis. An impression is an advertisement loaded on a web page.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and, for automotive campaigns, specific auto brands, categories such as Certified Pre-Owned, and segments such as hybrid vehicles. We do not provide minimum impression guarantees or other types of minimum guarantees in our contracts with customers. Advertising is also sold indirectly through revenue-sharing arrangements with advertising exchange partners.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2D"/>
        </w:rPr>
        <w:t>Financing Revenue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We also derive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Cost of Revenue</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Cost of revenue includes expenses related to supporting and hosting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and impairment of capitalized website development; amortization of capitalized hosting arrangements; and allocated overhead expenses.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We allocate overhead expenses, such as rent and facility expenses, software expense, and employee benefit expense, to all departments based on headcount. As such, general overhead expenses are reflected in cost of revenue and each operating expense category.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Operating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Sales and Marketing</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Sales and marketing expense consists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software subscription expenses; consulting services; amortization of capitalized hosting arrangements; and allocated overhead expenses. A portion of our commissions that are related to obtaining a new contract are capitalized and amortized over the estimated benefit period of customer relationships. Other than commissions amortization, all other sales and marketing expenses are expensed as incurred. We expect sales and marketing expense to fluctuate from quarter to quarter due to seasonality and as we respond to changes in the macroeconomic and competitive landscapes affecting our existing dealers, consumer audience, and brand awareness.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Product, Technology, and Development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Product, technology, and development expense consists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 to increase from quarter to quarter as we invest in additional engineering resources to develop innovative new solutions and make improvements to our existing platform.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General and Administrative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General and administrative expense consists primarily of personnel and related expenses for our executive, finance, legal, people and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 is expensed as incurred. We expect general and administrative expense to increase as we continue to scale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Impairment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During the three months ended March 31, 2026, we identified a triggering event requiring an impairment test for the 121 First Street lease , which we intend to sublease, primarily due to lower anticipated rental rates. We performed an updated fair value analysis of the lease, and subsequently recognized non-cash impairment charges of $14.7 million related to operating lease right-of-use asset and $4.5 million related to leasehold improvements and furniture and fixtures, which were recognized within impairment operating expenses in the Unaudited Condensed Consolidated Income Statements. For further discussion of the lease impairment, refer to Note 9 of the Unaudited Condensed Consolidated Financial Statements included elsewhere in this Quarterly Report.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Depreciation and Amortization</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Depreciation and amortization expense consists of depreciation on property and equipment and amortization of intangible assets and internal-use software.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Other Income, Net</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Other income, net consists primarily of interest income earned on our cash and cash equivalents, as well as foreign exchange gains and losses.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Provision for Income Taxes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 provision for income taxes consists of federal and state income taxes in the U.S. and taxes in foreign jurisdictions in which we operate. For the three months ended March 31, 2026 and 2025, a provision for income taxes was recognized as a result of the consolidated taxable income position.</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00002D"/>
        </w:rPr>
        <w:t>For the three months ended March 31, 2026 and 2025, the Unaudited Condensed Consolidated Income Statements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40" w:type="dxa"/>
            <w:vAlign w:val="bottom"/>
            <w:gridSpan w:val="6"/>
          </w:tcPr>
          <w:p>
            <w:pPr>
              <w:jc w:val="center"/>
              <w:ind w:right="10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40" w:type="dxa"/>
            <w:vAlign w:val="bottom"/>
            <w:gridSpan w:val="6"/>
          </w:tcPr>
          <w:p>
            <w:pPr>
              <w:jc w:val="center"/>
              <w:ind w:right="9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Revenue</w:t>
            </w:r>
          </w:p>
        </w:tc>
        <w:tc>
          <w:tcPr>
            <w:tcW w:w="2480" w:type="dxa"/>
            <w:vAlign w:val="bottom"/>
            <w:gridSpan w:val="2"/>
            <w:shd w:val="clear" w:color="auto" w:fill="EEF2F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243,555</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212,235</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18,934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14,343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Gross profit</w:t>
            </w:r>
          </w:p>
        </w:tc>
        <w:tc>
          <w:tcPr>
            <w:tcW w:w="2160" w:type="dxa"/>
            <w:vAlign w:val="bottom"/>
            <w:shd w:val="clear" w:color="auto" w:fill="EEF2F7"/>
          </w:tcPr>
          <w:p>
            <w:pPr>
              <w:spacing w:after="0"/>
              <w:rPr>
                <w:sz w:val="17"/>
                <w:szCs w:val="17"/>
                <w:color w:val="auto"/>
              </w:rPr>
            </w:pP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224,621</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197,892</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shd w:val="clear" w:color="auto" w:fill="EEF2F7"/>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2160" w:type="dxa"/>
            <w:vAlign w:val="bottom"/>
            <w:shd w:val="clear" w:color="auto" w:fill="EEF2F7"/>
          </w:tcPr>
          <w:p>
            <w:pPr>
              <w:spacing w:after="0"/>
              <w:rPr>
                <w:sz w:val="17"/>
                <w:szCs w:val="17"/>
                <w:color w:val="auto"/>
              </w:rPr>
            </w:pP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97,484</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83,669</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Product, technology, and development</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37,671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35,028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shd w:val="clear" w:color="auto" w:fill="EEF2F7"/>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EEF2F7"/>
          </w:tcPr>
          <w:p>
            <w:pPr>
              <w:spacing w:after="0"/>
              <w:rPr>
                <w:sz w:val="17"/>
                <w:szCs w:val="17"/>
                <w:color w:val="auto"/>
              </w:rPr>
            </w:pP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26,481</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24,785</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Impairments</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19,201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Borders>
              <w:bottom w:val="single" w:sz="8" w:color="EEF2F7"/>
            </w:tcBorders>
            <w:shd w:val="clear" w:color="auto" w:fill="EEF2F7"/>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160" w:type="dxa"/>
            <w:vAlign w:val="bottom"/>
            <w:tcBorders>
              <w:bottom w:val="single" w:sz="8" w:color="EEF2F7"/>
            </w:tcBorders>
            <w:shd w:val="clear" w:color="auto" w:fill="EEF2F7"/>
          </w:tcPr>
          <w:p>
            <w:pPr>
              <w:spacing w:after="0"/>
              <w:rPr>
                <w:sz w:val="17"/>
                <w:szCs w:val="17"/>
                <w:color w:val="auto"/>
              </w:rPr>
            </w:pPr>
          </w:p>
        </w:tc>
        <w:tc>
          <w:tcPr>
            <w:tcW w:w="320" w:type="dxa"/>
            <w:vAlign w:val="bottom"/>
            <w:tcBorders>
              <w:bottom w:val="single" w:sz="8" w:color="auto"/>
            </w:tcBorders>
            <w:shd w:val="clear" w:color="auto" w:fill="EEF2F7"/>
          </w:tcPr>
          <w:p>
            <w:pPr>
              <w:spacing w:after="0"/>
              <w:rPr>
                <w:sz w:val="17"/>
                <w:szCs w:val="17"/>
                <w:color w:val="auto"/>
              </w:rPr>
            </w:pPr>
          </w:p>
        </w:tc>
        <w:tc>
          <w:tcPr>
            <w:tcW w:w="110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3,705</w:t>
            </w:r>
          </w:p>
        </w:tc>
        <w:tc>
          <w:tcPr>
            <w:tcW w:w="260" w:type="dxa"/>
            <w:vAlign w:val="bottom"/>
            <w:tcBorders>
              <w:bottom w:val="single" w:sz="8" w:color="EEF2F7"/>
            </w:tcBorders>
            <w:shd w:val="clear" w:color="auto" w:fill="EEF2F7"/>
          </w:tcPr>
          <w:p>
            <w:pPr>
              <w:spacing w:after="0"/>
              <w:rPr>
                <w:sz w:val="17"/>
                <w:szCs w:val="17"/>
                <w:color w:val="auto"/>
              </w:rPr>
            </w:pPr>
          </w:p>
        </w:tc>
        <w:tc>
          <w:tcPr>
            <w:tcW w:w="380" w:type="dxa"/>
            <w:vAlign w:val="bottom"/>
            <w:tcBorders>
              <w:bottom w:val="single" w:sz="8" w:color="auto"/>
            </w:tcBorders>
            <w:shd w:val="clear" w:color="auto" w:fill="EEF2F7"/>
          </w:tcPr>
          <w:p>
            <w:pPr>
              <w:spacing w:after="0"/>
              <w:rPr>
                <w:sz w:val="17"/>
                <w:szCs w:val="17"/>
                <w:color w:val="auto"/>
              </w:rPr>
            </w:pPr>
          </w:p>
        </w:tc>
        <w:tc>
          <w:tcPr>
            <w:tcW w:w="104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3,756</w:t>
            </w:r>
          </w:p>
        </w:tc>
        <w:tc>
          <w:tcPr>
            <w:tcW w:w="100" w:type="dxa"/>
            <w:vAlign w:val="bottom"/>
            <w:tcBorders>
              <w:bottom w:val="single" w:sz="8" w:color="EEF2F7"/>
            </w:tcBorders>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tcPr>
          <w:p>
            <w:pPr>
              <w:ind w:left="240"/>
              <w:spacing w:after="0" w:line="196" w:lineRule="exact"/>
              <w:rPr>
                <w:sz w:val="20"/>
                <w:szCs w:val="20"/>
                <w:color w:val="auto"/>
              </w:rPr>
            </w:pPr>
            <w:r>
              <w:rPr>
                <w:rFonts w:ascii="Arial" w:cs="Arial" w:eastAsia="Arial" w:hAnsi="Arial"/>
                <w:sz w:val="18"/>
                <w:szCs w:val="18"/>
                <w:color w:val="auto"/>
              </w:rPr>
              <w:t>Total operating expenses</w:t>
            </w:r>
          </w:p>
        </w:tc>
        <w:tc>
          <w:tcPr>
            <w:tcW w:w="2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184,542</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147,238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Income from continuing operations</w:t>
            </w:r>
          </w:p>
        </w:tc>
        <w:tc>
          <w:tcPr>
            <w:tcW w:w="2160" w:type="dxa"/>
            <w:vAlign w:val="bottom"/>
            <w:shd w:val="clear" w:color="auto" w:fill="EEF2F7"/>
          </w:tcPr>
          <w:p>
            <w:pPr>
              <w:spacing w:after="0"/>
              <w:rPr>
                <w:sz w:val="17"/>
                <w:szCs w:val="17"/>
                <w:color w:val="auto"/>
              </w:rPr>
            </w:pP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40,079</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50,654</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shd w:val="clear" w:color="auto" w:fill="EEF2F7"/>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160" w:type="dxa"/>
            <w:vAlign w:val="bottom"/>
            <w:shd w:val="clear" w:color="auto" w:fill="EEF2F7"/>
          </w:tcPr>
          <w:p>
            <w:pPr>
              <w:spacing w:after="0"/>
              <w:rPr>
                <w:sz w:val="17"/>
                <w:szCs w:val="17"/>
                <w:color w:val="auto"/>
              </w:rPr>
            </w:pP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1,671</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3,098</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Other expense, net</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(606)</w:t>
            </w:r>
          </w:p>
        </w:tc>
        <w:tc>
          <w:tcPr>
            <w:tcW w:w="3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EEF2F7"/>
          </w:tcPr>
          <w:p>
            <w:pPr>
              <w:ind w:left="240"/>
              <w:spacing w:after="0" w:line="196" w:lineRule="exact"/>
              <w:rPr>
                <w:sz w:val="20"/>
                <w:szCs w:val="20"/>
                <w:color w:val="auto"/>
              </w:rPr>
            </w:pPr>
            <w:r>
              <w:rPr>
                <w:rFonts w:ascii="Arial" w:cs="Arial" w:eastAsia="Arial" w:hAnsi="Arial"/>
                <w:sz w:val="18"/>
                <w:szCs w:val="18"/>
                <w:color w:val="auto"/>
              </w:rPr>
              <w:t>Total other income, net</w:t>
            </w:r>
          </w:p>
        </w:tc>
        <w:tc>
          <w:tcPr>
            <w:tcW w:w="2160" w:type="dxa"/>
            <w:vAlign w:val="bottom"/>
            <w:shd w:val="clear" w:color="auto" w:fill="EEF2F7"/>
          </w:tcPr>
          <w:p>
            <w:pPr>
              <w:spacing w:after="0"/>
              <w:rPr>
                <w:sz w:val="17"/>
                <w:szCs w:val="17"/>
                <w:color w:val="auto"/>
              </w:rPr>
            </w:pPr>
          </w:p>
        </w:tc>
        <w:tc>
          <w:tcPr>
            <w:tcW w:w="320" w:type="dxa"/>
            <w:vAlign w:val="bottom"/>
            <w:tcBorders>
              <w:top w:val="single" w:sz="8" w:color="auto"/>
            </w:tcBorders>
            <w:shd w:val="clear" w:color="auto" w:fill="EEF2F7"/>
          </w:tcPr>
          <w:p>
            <w:pPr>
              <w:spacing w:after="0"/>
              <w:rPr>
                <w:sz w:val="17"/>
                <w:szCs w:val="17"/>
                <w:color w:val="auto"/>
              </w:rPr>
            </w:pPr>
          </w:p>
        </w:tc>
        <w:tc>
          <w:tcPr>
            <w:tcW w:w="1100" w:type="dxa"/>
            <w:vAlign w:val="bottom"/>
            <w:tcBorders>
              <w:top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1,065</w:t>
            </w:r>
          </w:p>
        </w:tc>
        <w:tc>
          <w:tcPr>
            <w:tcW w:w="260" w:type="dxa"/>
            <w:vAlign w:val="bottom"/>
            <w:shd w:val="clear" w:color="auto" w:fill="EEF2F7"/>
          </w:tcPr>
          <w:p>
            <w:pPr>
              <w:spacing w:after="0"/>
              <w:rPr>
                <w:sz w:val="17"/>
                <w:szCs w:val="17"/>
                <w:color w:val="auto"/>
              </w:rPr>
            </w:pPr>
          </w:p>
        </w:tc>
        <w:tc>
          <w:tcPr>
            <w:tcW w:w="380" w:type="dxa"/>
            <w:vAlign w:val="bottom"/>
            <w:tcBorders>
              <w:top w:val="single" w:sz="8" w:color="auto"/>
            </w:tcBorders>
            <w:shd w:val="clear" w:color="auto" w:fill="EEF2F7"/>
          </w:tcPr>
          <w:p>
            <w:pPr>
              <w:spacing w:after="0"/>
              <w:rPr>
                <w:sz w:val="17"/>
                <w:szCs w:val="17"/>
                <w:color w:val="auto"/>
              </w:rPr>
            </w:pPr>
          </w:p>
        </w:tc>
        <w:tc>
          <w:tcPr>
            <w:tcW w:w="1040" w:type="dxa"/>
            <w:vAlign w:val="bottom"/>
            <w:tcBorders>
              <w:top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2,796</w:t>
            </w:r>
          </w:p>
        </w:tc>
        <w:tc>
          <w:tcPr>
            <w:tcW w:w="100" w:type="dxa"/>
            <w:vAlign w:val="bottom"/>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41,144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53,450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Borders>
              <w:bottom w:val="single" w:sz="8" w:color="EEF2F7"/>
            </w:tcBorders>
            <w:shd w:val="clear" w:color="auto" w:fill="EEF2F7"/>
          </w:tcPr>
          <w:p>
            <w:pPr>
              <w:spacing w:after="0" w:line="202" w:lineRule="exact"/>
              <w:rPr>
                <w:sz w:val="20"/>
                <w:szCs w:val="20"/>
                <w:color w:val="auto"/>
              </w:rPr>
            </w:pPr>
            <w:r>
              <w:rPr>
                <w:rFonts w:ascii="Arial" w:cs="Arial" w:eastAsia="Arial" w:hAnsi="Arial"/>
                <w:sz w:val="18"/>
                <w:szCs w:val="18"/>
                <w:color w:val="auto"/>
              </w:rPr>
              <w:t>Provision for income taxes</w:t>
            </w:r>
          </w:p>
        </w:tc>
        <w:tc>
          <w:tcPr>
            <w:tcW w:w="2160" w:type="dxa"/>
            <w:vAlign w:val="bottom"/>
            <w:tcBorders>
              <w:bottom w:val="single" w:sz="8" w:color="EEF2F7"/>
            </w:tcBorders>
            <w:shd w:val="clear" w:color="auto" w:fill="EEF2F7"/>
          </w:tcPr>
          <w:p>
            <w:pPr>
              <w:spacing w:after="0"/>
              <w:rPr>
                <w:sz w:val="17"/>
                <w:szCs w:val="17"/>
                <w:color w:val="auto"/>
              </w:rPr>
            </w:pPr>
          </w:p>
        </w:tc>
        <w:tc>
          <w:tcPr>
            <w:tcW w:w="320" w:type="dxa"/>
            <w:vAlign w:val="bottom"/>
            <w:tcBorders>
              <w:bottom w:val="single" w:sz="8" w:color="auto"/>
            </w:tcBorders>
            <w:shd w:val="clear" w:color="auto" w:fill="EEF2F7"/>
          </w:tcPr>
          <w:p>
            <w:pPr>
              <w:spacing w:after="0"/>
              <w:rPr>
                <w:sz w:val="17"/>
                <w:szCs w:val="17"/>
                <w:color w:val="auto"/>
              </w:rPr>
            </w:pPr>
          </w:p>
        </w:tc>
        <w:tc>
          <w:tcPr>
            <w:tcW w:w="110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8,916</w:t>
            </w:r>
          </w:p>
        </w:tc>
        <w:tc>
          <w:tcPr>
            <w:tcW w:w="260" w:type="dxa"/>
            <w:vAlign w:val="bottom"/>
            <w:tcBorders>
              <w:bottom w:val="single" w:sz="8" w:color="EEF2F7"/>
            </w:tcBorders>
            <w:shd w:val="clear" w:color="auto" w:fill="EEF2F7"/>
          </w:tcPr>
          <w:p>
            <w:pPr>
              <w:spacing w:after="0"/>
              <w:rPr>
                <w:sz w:val="17"/>
                <w:szCs w:val="17"/>
                <w:color w:val="auto"/>
              </w:rPr>
            </w:pPr>
          </w:p>
        </w:tc>
        <w:tc>
          <w:tcPr>
            <w:tcW w:w="380" w:type="dxa"/>
            <w:vAlign w:val="bottom"/>
            <w:tcBorders>
              <w:bottom w:val="single" w:sz="8" w:color="auto"/>
            </w:tcBorders>
            <w:shd w:val="clear" w:color="auto" w:fill="EEF2F7"/>
          </w:tcPr>
          <w:p>
            <w:pPr>
              <w:spacing w:after="0"/>
              <w:rPr>
                <w:sz w:val="17"/>
                <w:szCs w:val="17"/>
                <w:color w:val="auto"/>
              </w:rPr>
            </w:pPr>
          </w:p>
        </w:tc>
        <w:tc>
          <w:tcPr>
            <w:tcW w:w="104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11,376</w:t>
            </w:r>
          </w:p>
        </w:tc>
        <w:tc>
          <w:tcPr>
            <w:tcW w:w="100" w:type="dxa"/>
            <w:vAlign w:val="bottom"/>
            <w:tcBorders>
              <w:bottom w:val="single" w:sz="8" w:color="EEF2F7"/>
            </w:tcBorders>
            <w:shd w:val="clear" w:color="auto" w:fill="EEF2F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line="196" w:lineRule="exact"/>
              <w:rPr>
                <w:sz w:val="20"/>
                <w:szCs w:val="20"/>
                <w:color w:val="auto"/>
              </w:rPr>
            </w:pPr>
            <w:r>
              <w:rPr>
                <w:rFonts w:ascii="Arial" w:cs="Arial" w:eastAsia="Arial" w:hAnsi="Arial"/>
                <w:sz w:val="18"/>
                <w:szCs w:val="18"/>
                <w:color w:val="auto"/>
              </w:rPr>
              <w:t>Net income from continuing operations</w:t>
            </w: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32,228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42,074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Net loss from discontinued operations, net of tax benefits</w:t>
            </w:r>
          </w:p>
        </w:tc>
        <w:tc>
          <w:tcPr>
            <w:tcW w:w="2160" w:type="dxa"/>
            <w:vAlign w:val="bottom"/>
            <w:shd w:val="clear" w:color="auto" w:fill="EEF2F7"/>
          </w:tcPr>
          <w:p>
            <w:pPr>
              <w:spacing w:after="0"/>
              <w:rPr>
                <w:sz w:val="17"/>
                <w:szCs w:val="17"/>
                <w:color w:val="auto"/>
              </w:rPr>
            </w:pPr>
          </w:p>
        </w:tc>
        <w:tc>
          <w:tcPr>
            <w:tcW w:w="320" w:type="dxa"/>
            <w:vAlign w:val="bottom"/>
            <w:shd w:val="clear" w:color="auto" w:fill="EEF2F7"/>
          </w:tcPr>
          <w:p>
            <w:pPr>
              <w:spacing w:after="0"/>
              <w:rPr>
                <w:sz w:val="17"/>
                <w:szCs w:val="17"/>
                <w:color w:val="auto"/>
              </w:rPr>
            </w:pP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spacing w:after="0"/>
              <w:rPr>
                <w:sz w:val="17"/>
                <w:szCs w:val="17"/>
                <w:color w:val="auto"/>
              </w:rPr>
            </w:pPr>
          </w:p>
        </w:tc>
        <w:tc>
          <w:tcPr>
            <w:tcW w:w="114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(3,029)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tcBorders>
              <w:top w:val="single" w:sz="8" w:color="EEF2F7"/>
            </w:tcBorders>
          </w:tcPr>
          <w:p>
            <w:pPr>
              <w:spacing w:after="0" w:line="182" w:lineRule="exact"/>
              <w:rPr>
                <w:sz w:val="20"/>
                <w:szCs w:val="20"/>
                <w:color w:val="auto"/>
              </w:rPr>
            </w:pPr>
            <w:r>
              <w:rPr>
                <w:rFonts w:ascii="Arial" w:cs="Arial" w:eastAsia="Arial" w:hAnsi="Arial"/>
                <w:sz w:val="18"/>
                <w:szCs w:val="18"/>
                <w:color w:val="auto"/>
              </w:rPr>
              <w:t>Consolidated net income</w:t>
            </w:r>
          </w:p>
        </w:tc>
        <w:tc>
          <w:tcPr>
            <w:tcW w:w="2160" w:type="dxa"/>
            <w:vAlign w:val="bottom"/>
            <w:tcBorders>
              <w:top w:val="single" w:sz="8" w:color="EEF2F7"/>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32,228</w:t>
            </w:r>
          </w:p>
        </w:tc>
        <w:tc>
          <w:tcPr>
            <w:tcW w:w="260" w:type="dxa"/>
            <w:vAlign w:val="bottom"/>
            <w:tcBorders>
              <w:top w:val="single" w:sz="8" w:color="EEF2F7"/>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39,045</w:t>
            </w:r>
          </w:p>
        </w:tc>
        <w:tc>
          <w:tcPr>
            <w:tcW w:w="100" w:type="dxa"/>
            <w:vAlign w:val="bottom"/>
            <w:tcBorders>
              <w:top w:val="single" w:sz="8" w:color="EEF2F7"/>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160" w:type="dxa"/>
            <w:vAlign w:val="bottom"/>
            <w:vMerge w:val="restart"/>
          </w:tcPr>
          <w:p>
            <w:pPr>
              <w:jc w:val="right"/>
              <w:ind w:right="1670"/>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-2382520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-2382520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-1327785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-1327785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-1062355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For the three months ended March 31, 2026 and 2025, the Unaudited Condensed Consolidated Income Statements as a percentage of total revenue were as follows (amounts in the table below may not sum due to rounding):</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26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6780" w:type="dxa"/>
            <w:vAlign w:val="bottom"/>
          </w:tcPr>
          <w:p>
            <w:pPr>
              <w:spacing w:after="0"/>
              <w:rPr>
                <w:sz w:val="14"/>
                <w:szCs w:val="14"/>
                <w:color w:val="auto"/>
              </w:rPr>
            </w:pPr>
          </w:p>
        </w:tc>
        <w:tc>
          <w:tcPr>
            <w:tcW w:w="226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14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w w:val="96"/>
              </w:rPr>
              <w:t>2025</w:t>
            </w:r>
          </w:p>
        </w:tc>
        <w:tc>
          <w:tcPr>
            <w:tcW w:w="180" w:type="dxa"/>
            <w:vAlign w:val="bottom"/>
          </w:tcPr>
          <w:p>
            <w:pPr>
              <w:spacing w:after="0"/>
              <w:rPr>
                <w:sz w:val="13"/>
                <w:szCs w:val="13"/>
                <w:color w:val="auto"/>
              </w:rPr>
            </w:pPr>
          </w:p>
        </w:tc>
      </w:tr>
      <w:tr>
        <w:trPr>
          <w:trHeight w:val="196"/>
        </w:trPr>
        <w:tc>
          <w:tcPr>
            <w:tcW w:w="6780" w:type="dxa"/>
            <w:vAlign w:val="bottom"/>
            <w:shd w:val="clear" w:color="auto" w:fill="EEF2F7"/>
          </w:tcPr>
          <w:p>
            <w:pPr>
              <w:ind w:left="40"/>
              <w:spacing w:after="0" w:line="196" w:lineRule="exact"/>
              <w:rPr>
                <w:sz w:val="20"/>
                <w:szCs w:val="20"/>
                <w:color w:val="auto"/>
              </w:rPr>
            </w:pPr>
            <w:r>
              <w:rPr>
                <w:rFonts w:ascii="Arial" w:cs="Arial" w:eastAsia="Arial" w:hAnsi="Arial"/>
                <w:sz w:val="18"/>
                <w:szCs w:val="18"/>
                <w:color w:val="auto"/>
              </w:rPr>
              <w:t>Revenue</w:t>
            </w:r>
          </w:p>
        </w:tc>
        <w:tc>
          <w:tcPr>
            <w:tcW w:w="1720" w:type="dxa"/>
            <w:vAlign w:val="bottom"/>
            <w:gridSpan w:val="2"/>
            <w:shd w:val="clear" w:color="auto" w:fill="EEF2F7"/>
          </w:tcPr>
          <w:p>
            <w:pPr>
              <w:jc w:val="right"/>
              <w:ind w:right="160"/>
              <w:spacing w:after="0" w:line="196" w:lineRule="exact"/>
              <w:rPr>
                <w:sz w:val="20"/>
                <w:szCs w:val="20"/>
                <w:color w:val="auto"/>
              </w:rPr>
            </w:pPr>
            <w:r>
              <w:rPr>
                <w:rFonts w:ascii="Arial" w:cs="Arial" w:eastAsia="Arial" w:hAnsi="Arial"/>
                <w:sz w:val="18"/>
                <w:szCs w:val="18"/>
                <w:color w:val="auto"/>
              </w:rPr>
              <w:t>100%</w:t>
            </w:r>
          </w:p>
        </w:tc>
        <w:tc>
          <w:tcPr>
            <w:tcW w:w="540" w:type="dxa"/>
            <w:vAlign w:val="bottom"/>
            <w:shd w:val="clear" w:color="auto" w:fill="EEF2F7"/>
          </w:tcPr>
          <w:p>
            <w:pPr>
              <w:spacing w:after="0"/>
              <w:rPr>
                <w:sz w:val="17"/>
                <w:szCs w:val="17"/>
                <w:color w:val="auto"/>
              </w:rPr>
            </w:pPr>
          </w:p>
        </w:tc>
        <w:tc>
          <w:tcPr>
            <w:tcW w:w="1060" w:type="dxa"/>
            <w:vAlign w:val="bottom"/>
            <w:gridSpan w:val="2"/>
            <w:shd w:val="clear" w:color="auto" w:fill="EEF2F7"/>
          </w:tcPr>
          <w:p>
            <w:pPr>
              <w:jc w:val="right"/>
              <w:ind w:right="20"/>
              <w:spacing w:after="0" w:line="196" w:lineRule="exact"/>
              <w:rPr>
                <w:sz w:val="20"/>
                <w:szCs w:val="20"/>
                <w:color w:val="auto"/>
              </w:rPr>
            </w:pPr>
            <w:r>
              <w:rPr>
                <w:rFonts w:ascii="Arial" w:cs="Arial" w:eastAsia="Arial" w:hAnsi="Arial"/>
                <w:sz w:val="18"/>
                <w:szCs w:val="18"/>
                <w:color w:val="auto"/>
              </w:rPr>
              <w:t>100%</w:t>
            </w:r>
          </w:p>
        </w:tc>
      </w:tr>
      <w:tr>
        <w:trPr>
          <w:trHeight w:val="203"/>
        </w:trPr>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Cost of revenue</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r>
      <w:tr>
        <w:trPr>
          <w:trHeight w:val="196"/>
        </w:trPr>
        <w:tc>
          <w:tcPr>
            <w:tcW w:w="6780" w:type="dxa"/>
            <w:vAlign w:val="bottom"/>
            <w:shd w:val="clear" w:color="auto" w:fill="EEF2F7"/>
          </w:tcPr>
          <w:p>
            <w:pPr>
              <w:ind w:left="40"/>
              <w:spacing w:after="0" w:line="196" w:lineRule="exact"/>
              <w:rPr>
                <w:sz w:val="20"/>
                <w:szCs w:val="20"/>
                <w:color w:val="auto"/>
              </w:rPr>
            </w:pPr>
            <w:r>
              <w:rPr>
                <w:rFonts w:ascii="Arial" w:cs="Arial" w:eastAsia="Arial" w:hAnsi="Arial"/>
                <w:sz w:val="18"/>
                <w:szCs w:val="18"/>
                <w:color w:val="auto"/>
              </w:rPr>
              <w:t>Gross profit</w:t>
            </w:r>
          </w:p>
        </w:tc>
        <w:tc>
          <w:tcPr>
            <w:tcW w:w="14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92</w:t>
            </w:r>
          </w:p>
        </w:tc>
        <w:tc>
          <w:tcPr>
            <w:tcW w:w="320" w:type="dxa"/>
            <w:vAlign w:val="bottom"/>
            <w:shd w:val="clear" w:color="auto" w:fill="EEF2F7"/>
          </w:tcPr>
          <w:p>
            <w:pPr>
              <w:spacing w:after="0"/>
              <w:rPr>
                <w:sz w:val="17"/>
                <w:szCs w:val="17"/>
                <w:color w:val="auto"/>
              </w:rPr>
            </w:pPr>
          </w:p>
        </w:tc>
        <w:tc>
          <w:tcPr>
            <w:tcW w:w="540" w:type="dxa"/>
            <w:vAlign w:val="bottom"/>
            <w:shd w:val="clear" w:color="auto" w:fill="EEF2F7"/>
          </w:tcPr>
          <w:p>
            <w:pPr>
              <w:spacing w:after="0"/>
              <w:rPr>
                <w:sz w:val="17"/>
                <w:szCs w:val="17"/>
                <w:color w:val="auto"/>
              </w:rPr>
            </w:pPr>
          </w:p>
        </w:tc>
        <w:tc>
          <w:tcPr>
            <w:tcW w:w="88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93</w:t>
            </w:r>
          </w:p>
        </w:tc>
        <w:tc>
          <w:tcPr>
            <w:tcW w:w="180" w:type="dxa"/>
            <w:vAlign w:val="bottom"/>
            <w:shd w:val="clear" w:color="auto" w:fill="EEF2F7"/>
          </w:tcPr>
          <w:p>
            <w:pPr>
              <w:spacing w:after="0"/>
              <w:rPr>
                <w:sz w:val="17"/>
                <w:szCs w:val="17"/>
                <w:color w:val="auto"/>
              </w:rPr>
            </w:pPr>
          </w:p>
        </w:tc>
      </w:tr>
      <w:tr>
        <w:trPr>
          <w:trHeight w:val="203"/>
        </w:trPr>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780" w:type="dxa"/>
            <w:vAlign w:val="bottom"/>
            <w:shd w:val="clear" w:color="auto" w:fill="EEF2F7"/>
          </w:tcPr>
          <w:p>
            <w:pPr>
              <w:ind w:left="160"/>
              <w:spacing w:after="0" w:line="202" w:lineRule="exact"/>
              <w:rPr>
                <w:sz w:val="20"/>
                <w:szCs w:val="20"/>
                <w:color w:val="auto"/>
              </w:rPr>
            </w:pPr>
            <w:r>
              <w:rPr>
                <w:rFonts w:ascii="Arial" w:cs="Arial" w:eastAsia="Arial" w:hAnsi="Arial"/>
                <w:sz w:val="18"/>
                <w:szCs w:val="18"/>
                <w:color w:val="auto"/>
              </w:rPr>
              <w:t>Sales and marketing</w:t>
            </w:r>
          </w:p>
        </w:tc>
        <w:tc>
          <w:tcPr>
            <w:tcW w:w="14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EF2F7"/>
          </w:tcPr>
          <w:p>
            <w:pPr>
              <w:spacing w:after="0"/>
              <w:rPr>
                <w:sz w:val="17"/>
                <w:szCs w:val="17"/>
                <w:color w:val="auto"/>
              </w:rPr>
            </w:pPr>
          </w:p>
        </w:tc>
        <w:tc>
          <w:tcPr>
            <w:tcW w:w="540" w:type="dxa"/>
            <w:vAlign w:val="bottom"/>
            <w:shd w:val="clear" w:color="auto" w:fill="EEF2F7"/>
          </w:tcPr>
          <w:p>
            <w:pPr>
              <w:spacing w:after="0"/>
              <w:rPr>
                <w:sz w:val="17"/>
                <w:szCs w:val="17"/>
                <w:color w:val="auto"/>
              </w:rPr>
            </w:pPr>
          </w:p>
        </w:tc>
        <w:tc>
          <w:tcPr>
            <w:tcW w:w="8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39</w:t>
            </w:r>
          </w:p>
        </w:tc>
        <w:tc>
          <w:tcPr>
            <w:tcW w:w="180" w:type="dxa"/>
            <w:vAlign w:val="bottom"/>
            <w:shd w:val="clear" w:color="auto" w:fill="EEF2F7"/>
          </w:tcPr>
          <w:p>
            <w:pPr>
              <w:spacing w:after="0"/>
              <w:rPr>
                <w:sz w:val="17"/>
                <w:szCs w:val="17"/>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Product, technology, and development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r>
      <w:tr>
        <w:trPr>
          <w:trHeight w:val="203"/>
        </w:trPr>
        <w:tc>
          <w:tcPr>
            <w:tcW w:w="6780" w:type="dxa"/>
            <w:vAlign w:val="bottom"/>
            <w:shd w:val="clear" w:color="auto" w:fill="EEF2F7"/>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shd w:val="clear" w:color="auto" w:fill="EEF2F7"/>
          </w:tcPr>
          <w:p>
            <w:pPr>
              <w:spacing w:after="0"/>
              <w:rPr>
                <w:sz w:val="17"/>
                <w:szCs w:val="17"/>
                <w:color w:val="auto"/>
              </w:rPr>
            </w:pPr>
          </w:p>
        </w:tc>
        <w:tc>
          <w:tcPr>
            <w:tcW w:w="540" w:type="dxa"/>
            <w:vAlign w:val="bottom"/>
            <w:shd w:val="clear" w:color="auto" w:fill="EEF2F7"/>
          </w:tcPr>
          <w:p>
            <w:pPr>
              <w:spacing w:after="0"/>
              <w:rPr>
                <w:sz w:val="17"/>
                <w:szCs w:val="17"/>
                <w:color w:val="auto"/>
              </w:rPr>
            </w:pPr>
          </w:p>
        </w:tc>
        <w:tc>
          <w:tcPr>
            <w:tcW w:w="8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EEF2F7"/>
          </w:tcPr>
          <w:p>
            <w:pPr>
              <w:spacing w:after="0"/>
              <w:rPr>
                <w:sz w:val="17"/>
                <w:szCs w:val="17"/>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Impairments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tcBorders>
              <w:bottom w:val="single" w:sz="8" w:color="EEF2F7"/>
            </w:tcBorders>
            <w:shd w:val="clear" w:color="auto" w:fill="EEF2F7"/>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140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tcBorders>
              <w:bottom w:val="single" w:sz="8" w:color="EEF2F7"/>
            </w:tcBorders>
            <w:shd w:val="clear" w:color="auto" w:fill="EEF2F7"/>
          </w:tcPr>
          <w:p>
            <w:pPr>
              <w:spacing w:after="0"/>
              <w:rPr>
                <w:sz w:val="17"/>
                <w:szCs w:val="17"/>
                <w:color w:val="auto"/>
              </w:rPr>
            </w:pPr>
          </w:p>
        </w:tc>
        <w:tc>
          <w:tcPr>
            <w:tcW w:w="540" w:type="dxa"/>
            <w:vAlign w:val="bottom"/>
            <w:tcBorders>
              <w:bottom w:val="single" w:sz="8" w:color="auto"/>
            </w:tcBorders>
            <w:shd w:val="clear" w:color="auto" w:fill="EEF2F7"/>
          </w:tcPr>
          <w:p>
            <w:pPr>
              <w:spacing w:after="0"/>
              <w:rPr>
                <w:sz w:val="17"/>
                <w:szCs w:val="17"/>
                <w:color w:val="auto"/>
              </w:rPr>
            </w:pPr>
          </w:p>
        </w:tc>
        <w:tc>
          <w:tcPr>
            <w:tcW w:w="88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EEF2F7"/>
            </w:tcBorders>
            <w:shd w:val="clear" w:color="auto" w:fill="EEF2F7"/>
          </w:tcPr>
          <w:p>
            <w:pPr>
              <w:spacing w:after="0"/>
              <w:rPr>
                <w:sz w:val="17"/>
                <w:szCs w:val="17"/>
                <w:color w:val="auto"/>
              </w:rPr>
            </w:pPr>
          </w:p>
        </w:tc>
      </w:tr>
      <w:tr>
        <w:trPr>
          <w:trHeight w:val="196"/>
        </w:trPr>
        <w:tc>
          <w:tcPr>
            <w:tcW w:w="6780" w:type="dxa"/>
            <w:vAlign w:val="bottom"/>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3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r>
      <w:tr>
        <w:trPr>
          <w:trHeight w:val="196"/>
        </w:trPr>
        <w:tc>
          <w:tcPr>
            <w:tcW w:w="6780" w:type="dxa"/>
            <w:vAlign w:val="bottom"/>
            <w:shd w:val="clear" w:color="auto" w:fill="EEF2F7"/>
          </w:tcPr>
          <w:p>
            <w:pPr>
              <w:ind w:left="40"/>
              <w:spacing w:after="0" w:line="196" w:lineRule="exact"/>
              <w:rPr>
                <w:sz w:val="20"/>
                <w:szCs w:val="20"/>
                <w:color w:val="auto"/>
              </w:rPr>
            </w:pPr>
            <w:r>
              <w:rPr>
                <w:rFonts w:ascii="Arial" w:cs="Arial" w:eastAsia="Arial" w:hAnsi="Arial"/>
                <w:sz w:val="18"/>
                <w:szCs w:val="18"/>
                <w:color w:val="auto"/>
              </w:rPr>
              <w:t>Income from continuing operations</w:t>
            </w:r>
          </w:p>
        </w:tc>
        <w:tc>
          <w:tcPr>
            <w:tcW w:w="14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16</w:t>
            </w:r>
          </w:p>
        </w:tc>
        <w:tc>
          <w:tcPr>
            <w:tcW w:w="320" w:type="dxa"/>
            <w:vAlign w:val="bottom"/>
            <w:shd w:val="clear" w:color="auto" w:fill="EEF2F7"/>
          </w:tcPr>
          <w:p>
            <w:pPr>
              <w:spacing w:after="0"/>
              <w:rPr>
                <w:sz w:val="17"/>
                <w:szCs w:val="17"/>
                <w:color w:val="auto"/>
              </w:rPr>
            </w:pPr>
          </w:p>
        </w:tc>
        <w:tc>
          <w:tcPr>
            <w:tcW w:w="540" w:type="dxa"/>
            <w:vAlign w:val="bottom"/>
            <w:shd w:val="clear" w:color="auto" w:fill="EEF2F7"/>
          </w:tcPr>
          <w:p>
            <w:pPr>
              <w:spacing w:after="0"/>
              <w:rPr>
                <w:sz w:val="17"/>
                <w:szCs w:val="17"/>
                <w:color w:val="auto"/>
              </w:rPr>
            </w:pPr>
          </w:p>
        </w:tc>
        <w:tc>
          <w:tcPr>
            <w:tcW w:w="88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24</w:t>
            </w:r>
          </w:p>
        </w:tc>
        <w:tc>
          <w:tcPr>
            <w:tcW w:w="180" w:type="dxa"/>
            <w:vAlign w:val="bottom"/>
            <w:shd w:val="clear" w:color="auto" w:fill="EEF2F7"/>
          </w:tcPr>
          <w:p>
            <w:pPr>
              <w:spacing w:after="0"/>
              <w:rPr>
                <w:sz w:val="17"/>
                <w:szCs w:val="17"/>
                <w:color w:val="auto"/>
              </w:rPr>
            </w:pPr>
          </w:p>
        </w:tc>
      </w:tr>
      <w:tr>
        <w:trPr>
          <w:trHeight w:val="203"/>
        </w:trPr>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Other income, net</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780" w:type="dxa"/>
            <w:vAlign w:val="bottom"/>
            <w:shd w:val="clear" w:color="auto" w:fill="EEF2F7"/>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14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EF2F7"/>
          </w:tcPr>
          <w:p>
            <w:pPr>
              <w:spacing w:after="0"/>
              <w:rPr>
                <w:sz w:val="17"/>
                <w:szCs w:val="17"/>
                <w:color w:val="auto"/>
              </w:rPr>
            </w:pPr>
          </w:p>
        </w:tc>
        <w:tc>
          <w:tcPr>
            <w:tcW w:w="540" w:type="dxa"/>
            <w:vAlign w:val="bottom"/>
            <w:shd w:val="clear" w:color="auto" w:fill="EEF2F7"/>
          </w:tcPr>
          <w:p>
            <w:pPr>
              <w:spacing w:after="0"/>
              <w:rPr>
                <w:sz w:val="17"/>
                <w:szCs w:val="17"/>
                <w:color w:val="auto"/>
              </w:rPr>
            </w:pPr>
          </w:p>
        </w:tc>
        <w:tc>
          <w:tcPr>
            <w:tcW w:w="8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EEF2F7"/>
          </w:tcPr>
          <w:p>
            <w:pPr>
              <w:spacing w:after="0"/>
              <w:rPr>
                <w:sz w:val="17"/>
                <w:szCs w:val="17"/>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Other expense, net</w:t>
            </w:r>
          </w:p>
        </w:tc>
        <w:tc>
          <w:tcPr>
            <w:tcW w:w="1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5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r>
      <w:tr>
        <w:trPr>
          <w:trHeight w:val="196"/>
        </w:trPr>
        <w:tc>
          <w:tcPr>
            <w:tcW w:w="6780" w:type="dxa"/>
            <w:vAlign w:val="bottom"/>
            <w:shd w:val="clear" w:color="auto" w:fill="EEF2F7"/>
          </w:tcPr>
          <w:p>
            <w:pPr>
              <w:ind w:left="220"/>
              <w:spacing w:after="0" w:line="196" w:lineRule="exact"/>
              <w:rPr>
                <w:sz w:val="20"/>
                <w:szCs w:val="20"/>
                <w:color w:val="auto"/>
              </w:rPr>
            </w:pPr>
            <w:r>
              <w:rPr>
                <w:rFonts w:ascii="Arial" w:cs="Arial" w:eastAsia="Arial" w:hAnsi="Arial"/>
                <w:sz w:val="18"/>
                <w:szCs w:val="18"/>
                <w:color w:val="auto"/>
              </w:rPr>
              <w:t>Total other income, net</w:t>
            </w:r>
          </w:p>
        </w:tc>
        <w:tc>
          <w:tcPr>
            <w:tcW w:w="1400" w:type="dxa"/>
            <w:vAlign w:val="bottom"/>
            <w:tcBorders>
              <w:top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0</w:t>
            </w:r>
          </w:p>
        </w:tc>
        <w:tc>
          <w:tcPr>
            <w:tcW w:w="320" w:type="dxa"/>
            <w:vAlign w:val="bottom"/>
            <w:shd w:val="clear" w:color="auto" w:fill="EEF2F7"/>
          </w:tcPr>
          <w:p>
            <w:pPr>
              <w:spacing w:after="0"/>
              <w:rPr>
                <w:sz w:val="17"/>
                <w:szCs w:val="17"/>
                <w:color w:val="auto"/>
              </w:rPr>
            </w:pPr>
          </w:p>
        </w:tc>
        <w:tc>
          <w:tcPr>
            <w:tcW w:w="540" w:type="dxa"/>
            <w:vAlign w:val="bottom"/>
            <w:tcBorders>
              <w:top w:val="single" w:sz="8" w:color="auto"/>
            </w:tcBorders>
            <w:shd w:val="clear" w:color="auto" w:fill="EEF2F7"/>
          </w:tcPr>
          <w:p>
            <w:pPr>
              <w:spacing w:after="0"/>
              <w:rPr>
                <w:sz w:val="17"/>
                <w:szCs w:val="17"/>
                <w:color w:val="auto"/>
              </w:rPr>
            </w:pPr>
          </w:p>
        </w:tc>
        <w:tc>
          <w:tcPr>
            <w:tcW w:w="880" w:type="dxa"/>
            <w:vAlign w:val="bottom"/>
            <w:tcBorders>
              <w:top w:val="single" w:sz="8" w:color="auto"/>
            </w:tcBorders>
            <w:shd w:val="clear" w:color="auto" w:fill="EEF2F7"/>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shd w:val="clear" w:color="auto" w:fill="EEF2F7"/>
          </w:tcPr>
          <w:p>
            <w:pPr>
              <w:spacing w:after="0"/>
              <w:rPr>
                <w:sz w:val="17"/>
                <w:szCs w:val="17"/>
                <w:color w:val="auto"/>
              </w:rPr>
            </w:pPr>
          </w:p>
        </w:tc>
      </w:tr>
      <w:tr>
        <w:trPr>
          <w:trHeight w:val="203"/>
        </w:trPr>
        <w:tc>
          <w:tcPr>
            <w:tcW w:w="6780" w:type="dxa"/>
            <w:vAlign w:val="bottom"/>
          </w:tcPr>
          <w:p>
            <w:pPr>
              <w:ind w:left="40"/>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r>
      <w:tr>
        <w:trPr>
          <w:trHeight w:val="203"/>
        </w:trPr>
        <w:tc>
          <w:tcPr>
            <w:tcW w:w="6780" w:type="dxa"/>
            <w:vAlign w:val="bottom"/>
            <w:tcBorders>
              <w:bottom w:val="single" w:sz="8" w:color="EEF2F7"/>
            </w:tcBorders>
            <w:shd w:val="clear" w:color="auto" w:fill="EEF2F7"/>
          </w:tcPr>
          <w:p>
            <w:pPr>
              <w:ind w:left="40"/>
              <w:spacing w:after="0" w:line="202" w:lineRule="exact"/>
              <w:rPr>
                <w:sz w:val="20"/>
                <w:szCs w:val="20"/>
                <w:color w:val="auto"/>
              </w:rPr>
            </w:pPr>
            <w:r>
              <w:rPr>
                <w:rFonts w:ascii="Arial" w:cs="Arial" w:eastAsia="Arial" w:hAnsi="Arial"/>
                <w:sz w:val="18"/>
                <w:szCs w:val="18"/>
                <w:color w:val="auto"/>
              </w:rPr>
              <w:t>Provision for income taxes</w:t>
            </w:r>
          </w:p>
        </w:tc>
        <w:tc>
          <w:tcPr>
            <w:tcW w:w="140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tcBorders>
              <w:bottom w:val="single" w:sz="8" w:color="EEF2F7"/>
            </w:tcBorders>
            <w:shd w:val="clear" w:color="auto" w:fill="EEF2F7"/>
          </w:tcPr>
          <w:p>
            <w:pPr>
              <w:spacing w:after="0"/>
              <w:rPr>
                <w:sz w:val="17"/>
                <w:szCs w:val="17"/>
                <w:color w:val="auto"/>
              </w:rPr>
            </w:pPr>
          </w:p>
        </w:tc>
        <w:tc>
          <w:tcPr>
            <w:tcW w:w="540" w:type="dxa"/>
            <w:vAlign w:val="bottom"/>
            <w:tcBorders>
              <w:bottom w:val="single" w:sz="8" w:color="auto"/>
            </w:tcBorders>
            <w:shd w:val="clear" w:color="auto" w:fill="EEF2F7"/>
          </w:tcPr>
          <w:p>
            <w:pPr>
              <w:spacing w:after="0"/>
              <w:rPr>
                <w:sz w:val="17"/>
                <w:szCs w:val="17"/>
                <w:color w:val="auto"/>
              </w:rPr>
            </w:pPr>
          </w:p>
        </w:tc>
        <w:tc>
          <w:tcPr>
            <w:tcW w:w="88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EEF2F7"/>
            </w:tcBorders>
            <w:shd w:val="clear" w:color="auto" w:fill="EEF2F7"/>
          </w:tcPr>
          <w:p>
            <w:pPr>
              <w:spacing w:after="0"/>
              <w:rPr>
                <w:sz w:val="17"/>
                <w:szCs w:val="17"/>
                <w:color w:val="auto"/>
              </w:rPr>
            </w:pPr>
          </w:p>
        </w:tc>
      </w:tr>
      <w:tr>
        <w:trPr>
          <w:trHeight w:val="196"/>
        </w:trPr>
        <w:tc>
          <w:tcPr>
            <w:tcW w:w="6780" w:type="dxa"/>
            <w:vAlign w:val="bottom"/>
          </w:tcPr>
          <w:p>
            <w:pPr>
              <w:ind w:left="40"/>
              <w:spacing w:after="0" w:line="196" w:lineRule="exact"/>
              <w:rPr>
                <w:sz w:val="20"/>
                <w:szCs w:val="20"/>
                <w:color w:val="auto"/>
              </w:rPr>
            </w:pPr>
            <w:r>
              <w:rPr>
                <w:rFonts w:ascii="Arial" w:cs="Arial" w:eastAsia="Arial" w:hAnsi="Arial"/>
                <w:sz w:val="18"/>
                <w:szCs w:val="18"/>
                <w:color w:val="auto"/>
              </w:rPr>
              <w:t>Net income from continuing operations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r>
      <w:tr>
        <w:trPr>
          <w:trHeight w:val="203"/>
        </w:trPr>
        <w:tc>
          <w:tcPr>
            <w:tcW w:w="6780" w:type="dxa"/>
            <w:vAlign w:val="bottom"/>
            <w:shd w:val="clear" w:color="auto" w:fill="EEF2F7"/>
          </w:tcPr>
          <w:p>
            <w:pPr>
              <w:ind w:left="40"/>
              <w:spacing w:after="0" w:line="202" w:lineRule="exact"/>
              <w:rPr>
                <w:sz w:val="20"/>
                <w:szCs w:val="20"/>
                <w:color w:val="auto"/>
              </w:rPr>
            </w:pPr>
            <w:r>
              <w:rPr>
                <w:rFonts w:ascii="Arial" w:cs="Arial" w:eastAsia="Arial" w:hAnsi="Arial"/>
                <w:sz w:val="18"/>
                <w:szCs w:val="18"/>
                <w:color w:val="auto"/>
              </w:rPr>
              <w:t>Net loss from discontinued operations, net of tax benefits</w:t>
            </w:r>
          </w:p>
        </w:tc>
        <w:tc>
          <w:tcPr>
            <w:tcW w:w="14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EF2F7"/>
          </w:tcPr>
          <w:p>
            <w:pPr>
              <w:spacing w:after="0"/>
              <w:rPr>
                <w:sz w:val="17"/>
                <w:szCs w:val="17"/>
                <w:color w:val="auto"/>
              </w:rPr>
            </w:pPr>
          </w:p>
        </w:tc>
        <w:tc>
          <w:tcPr>
            <w:tcW w:w="540" w:type="dxa"/>
            <w:vAlign w:val="bottom"/>
            <w:shd w:val="clear" w:color="auto" w:fill="EEF2F7"/>
          </w:tcPr>
          <w:p>
            <w:pPr>
              <w:spacing w:after="0"/>
              <w:rPr>
                <w:sz w:val="17"/>
                <w:szCs w:val="17"/>
                <w:color w:val="auto"/>
              </w:rPr>
            </w:pPr>
          </w:p>
        </w:tc>
        <w:tc>
          <w:tcPr>
            <w:tcW w:w="1060" w:type="dxa"/>
            <w:vAlign w:val="bottom"/>
            <w:gridSpan w:val="2"/>
            <w:shd w:val="clear" w:color="auto" w:fill="EEF2F7"/>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0"/>
        </w:trPr>
        <w:tc>
          <w:tcPr>
            <w:tcW w:w="6780" w:type="dxa"/>
            <w:vAlign w:val="bottom"/>
            <w:shd w:val="clear" w:color="auto" w:fill="EEF2F7"/>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EEF2F7"/>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EEF2F7"/>
          </w:tcPr>
          <w:p>
            <w:pPr>
              <w:spacing w:after="0" w:line="20" w:lineRule="exact"/>
              <w:rPr>
                <w:sz w:val="1"/>
                <w:szCs w:val="1"/>
                <w:color w:val="auto"/>
              </w:rPr>
            </w:pPr>
          </w:p>
        </w:tc>
      </w:tr>
      <w:tr>
        <w:trPr>
          <w:trHeight w:val="196"/>
        </w:trPr>
        <w:tc>
          <w:tcPr>
            <w:tcW w:w="6780" w:type="dxa"/>
            <w:vAlign w:val="bottom"/>
          </w:tcPr>
          <w:p>
            <w:pPr>
              <w:ind w:left="40"/>
              <w:spacing w:after="0" w:line="182" w:lineRule="exact"/>
              <w:rPr>
                <w:sz w:val="20"/>
                <w:szCs w:val="20"/>
                <w:color w:val="auto"/>
              </w:rPr>
            </w:pPr>
            <w:r>
              <w:rPr>
                <w:rFonts w:ascii="Arial" w:cs="Arial" w:eastAsia="Arial" w:hAnsi="Arial"/>
                <w:sz w:val="18"/>
                <w:szCs w:val="18"/>
                <w:color w:val="auto"/>
              </w:rPr>
              <w:t>Consolidated net income</w:t>
            </w:r>
          </w:p>
        </w:tc>
        <w:tc>
          <w:tcPr>
            <w:tcW w:w="17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13%</w:t>
            </w:r>
          </w:p>
        </w:tc>
        <w:tc>
          <w:tcPr>
            <w:tcW w:w="540" w:type="dxa"/>
            <w:vAlign w:val="bottom"/>
          </w:tcPr>
          <w:p>
            <w:pPr>
              <w:spacing w:after="0"/>
              <w:rPr>
                <w:sz w:val="17"/>
                <w:szCs w:val="17"/>
                <w:color w:val="auto"/>
              </w:rPr>
            </w:pPr>
          </w:p>
        </w:tc>
        <w:tc>
          <w:tcPr>
            <w:tcW w:w="10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w:t>
            </w:r>
          </w:p>
        </w:tc>
      </w:tr>
      <w:tr>
        <w:trPr>
          <w:trHeight w:val="20"/>
        </w:trPr>
        <w:tc>
          <w:tcPr>
            <w:tcW w:w="67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-1482090</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-1482090</wp:posOffset>
            </wp:positionV>
            <wp:extent cx="1117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-427990</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-427990</wp:posOffset>
            </wp:positionV>
            <wp:extent cx="1117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-161925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-161925</wp:posOffset>
            </wp:positionV>
            <wp:extent cx="1117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3465B0"/>
        </w:rPr>
        <w:t>For the three months ended March 31, 2026 and 2025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Revenue</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6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02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20" w:type="dxa"/>
            <w:vAlign w:val="bottom"/>
          </w:tcPr>
          <w:p>
            <w:pPr>
              <w:spacing w:after="0"/>
              <w:rPr>
                <w:sz w:val="13"/>
                <w:szCs w:val="13"/>
                <w:color w:val="auto"/>
              </w:rPr>
            </w:pPr>
          </w:p>
        </w:tc>
        <w:tc>
          <w:tcPr>
            <w:tcW w:w="102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1320" w:type="dxa"/>
            <w:vAlign w:val="bottom"/>
            <w:gridSpan w:val="3"/>
          </w:tcPr>
          <w:p>
            <w:pPr>
              <w:jc w:val="right"/>
              <w:ind w:right="382"/>
              <w:spacing w:after="0" w:line="155"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502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Revenue</w:t>
            </w:r>
          </w:p>
        </w:tc>
        <w:tc>
          <w:tcPr>
            <w:tcW w:w="102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   243,555</w:t>
            </w:r>
          </w:p>
        </w:tc>
        <w:tc>
          <w:tcPr>
            <w:tcW w:w="300" w:type="dxa"/>
            <w:vAlign w:val="bottom"/>
            <w:shd w:val="clear" w:color="auto" w:fill="EEF2F7"/>
          </w:tcPr>
          <w:p>
            <w:pPr>
              <w:spacing w:after="0"/>
              <w:rPr>
                <w:sz w:val="17"/>
                <w:szCs w:val="17"/>
                <w:color w:val="auto"/>
              </w:rPr>
            </w:pPr>
          </w:p>
        </w:tc>
        <w:tc>
          <w:tcPr>
            <w:tcW w:w="260" w:type="dxa"/>
            <w:vAlign w:val="bottom"/>
            <w:shd w:val="clear" w:color="auto" w:fill="EEF2F7"/>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212,235</w:t>
            </w:r>
          </w:p>
        </w:tc>
        <w:tc>
          <w:tcPr>
            <w:tcW w:w="300" w:type="dxa"/>
            <w:vAlign w:val="bottom"/>
            <w:shd w:val="clear" w:color="auto" w:fill="EEF2F7"/>
          </w:tcPr>
          <w:p>
            <w:pPr>
              <w:spacing w:after="0"/>
              <w:rPr>
                <w:sz w:val="17"/>
                <w:szCs w:val="17"/>
                <w:color w:val="auto"/>
              </w:rPr>
            </w:pPr>
          </w:p>
        </w:tc>
        <w:tc>
          <w:tcPr>
            <w:tcW w:w="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31,320</w:t>
            </w:r>
          </w:p>
        </w:tc>
        <w:tc>
          <w:tcPr>
            <w:tcW w:w="20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920" w:type="dxa"/>
            <w:vAlign w:val="bottom"/>
            <w:gridSpan w:val="2"/>
            <w:shd w:val="clear" w:color="auto" w:fill="EEF2F7"/>
          </w:tcPr>
          <w:p>
            <w:pPr>
              <w:jc w:val="right"/>
              <w:ind w:right="20"/>
              <w:spacing w:after="0" w:line="202" w:lineRule="exact"/>
              <w:rPr>
                <w:sz w:val="20"/>
                <w:szCs w:val="20"/>
                <w:color w:val="auto"/>
              </w:rPr>
            </w:pPr>
            <w:r>
              <w:rPr>
                <w:rFonts w:ascii="Arial" w:cs="Arial" w:eastAsia="Arial" w:hAnsi="Arial"/>
                <w:sz w:val="18"/>
                <w:szCs w:val="18"/>
                <w:color w:val="auto"/>
              </w:rPr>
              <w:t>15%</w:t>
            </w:r>
          </w:p>
        </w:tc>
      </w:tr>
      <w:tr>
        <w:trPr>
          <w:trHeight w:val="239"/>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Revenue increased $31.3 million, or 15%, in the three months ended March 31, 2026, compared to the three months ended March 31, 2025. The increase was due primarily to an increase in dealer subscription revenue as a result of growth in QARSD, which was driven by signing on new dealers at market rates, and revenue expansion driven by subscription tier upgrades, broader adoption of add-on products, and like-for-like price increases for existing dealers.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Cost of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center"/>
              <w:ind w:right="50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1320" w:type="dxa"/>
            <w:vAlign w:val="bottom"/>
            <w:gridSpan w:val="3"/>
          </w:tcPr>
          <w:p>
            <w:pPr>
              <w:jc w:val="right"/>
              <w:ind w:right="382"/>
              <w:spacing w:after="0" w:line="155"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35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Cost of Revenue</w:t>
            </w:r>
          </w:p>
        </w:tc>
        <w:tc>
          <w:tcPr>
            <w:tcW w:w="1680" w:type="dxa"/>
            <w:vAlign w:val="bottom"/>
            <w:gridSpan w:val="2"/>
            <w:shd w:val="clear" w:color="auto" w:fill="EEF2F7"/>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18,934</w:t>
            </w:r>
          </w:p>
        </w:tc>
        <w:tc>
          <w:tcPr>
            <w:tcW w:w="300" w:type="dxa"/>
            <w:vAlign w:val="bottom"/>
            <w:shd w:val="clear" w:color="auto" w:fill="EEF2F7"/>
          </w:tcPr>
          <w:p>
            <w:pPr>
              <w:spacing w:after="0"/>
              <w:rPr>
                <w:sz w:val="17"/>
                <w:szCs w:val="17"/>
                <w:color w:val="auto"/>
              </w:rPr>
            </w:pPr>
          </w:p>
        </w:tc>
        <w:tc>
          <w:tcPr>
            <w:tcW w:w="260" w:type="dxa"/>
            <w:vAlign w:val="bottom"/>
            <w:shd w:val="clear" w:color="auto" w:fill="EEF2F7"/>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14,343</w:t>
            </w:r>
          </w:p>
        </w:tc>
        <w:tc>
          <w:tcPr>
            <w:tcW w:w="300" w:type="dxa"/>
            <w:vAlign w:val="bottom"/>
            <w:shd w:val="clear" w:color="auto" w:fill="EEF2F7"/>
          </w:tcPr>
          <w:p>
            <w:pPr>
              <w:spacing w:after="0"/>
              <w:rPr>
                <w:sz w:val="17"/>
                <w:szCs w:val="17"/>
                <w:color w:val="auto"/>
              </w:rPr>
            </w:pPr>
          </w:p>
        </w:tc>
        <w:tc>
          <w:tcPr>
            <w:tcW w:w="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4,591</w:t>
            </w:r>
          </w:p>
        </w:tc>
        <w:tc>
          <w:tcPr>
            <w:tcW w:w="20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920" w:type="dxa"/>
            <w:vAlign w:val="bottom"/>
            <w:gridSpan w:val="2"/>
            <w:shd w:val="clear" w:color="auto" w:fill="EEF2F7"/>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560" w:type="dxa"/>
            <w:vAlign w:val="bottom"/>
          </w:tcPr>
          <w:p>
            <w:pPr>
              <w:spacing w:after="0"/>
              <w:rPr>
                <w:sz w:val="17"/>
                <w:szCs w:val="17"/>
                <w:color w:val="auto"/>
              </w:rPr>
            </w:pPr>
          </w:p>
        </w:tc>
      </w:tr>
      <w:tr>
        <w:trPr>
          <w:trHeight w:val="239"/>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1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Cost of revenue increased $4.6 million, or 32%, in the three months ended March 31, 2026, compared to the three months ended March 31, 2025, and represented 8% of total revenue for the three months ended March 31, 2026, compared to 7% of total revenue for the three months ended March 31, 2025. The increase was due primarily to a $1.5 million increase in amortization due to new capitalized website development projects, a $1.3 million increase in data center and hosting costs due to higher overall usage, and a $0.7 million increase in spend related to provisioning advertising campaigns on external websites.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3465B0"/>
        </w:rPr>
        <w:t>Sales and Marketing Expense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48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1320" w:type="dxa"/>
            <w:vAlign w:val="bottom"/>
            <w:gridSpan w:val="3"/>
          </w:tcPr>
          <w:p>
            <w:pPr>
              <w:jc w:val="right"/>
              <w:ind w:right="382"/>
              <w:spacing w:after="0" w:line="155"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502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shd w:val="clear" w:color="auto" w:fill="EEF2F7"/>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97,484</w:t>
            </w:r>
          </w:p>
        </w:tc>
        <w:tc>
          <w:tcPr>
            <w:tcW w:w="300" w:type="dxa"/>
            <w:vAlign w:val="bottom"/>
            <w:shd w:val="clear" w:color="auto" w:fill="EEF2F7"/>
          </w:tcPr>
          <w:p>
            <w:pPr>
              <w:spacing w:after="0"/>
              <w:rPr>
                <w:sz w:val="17"/>
                <w:szCs w:val="17"/>
                <w:color w:val="auto"/>
              </w:rPr>
            </w:pPr>
          </w:p>
        </w:tc>
        <w:tc>
          <w:tcPr>
            <w:tcW w:w="260" w:type="dxa"/>
            <w:vAlign w:val="bottom"/>
            <w:shd w:val="clear" w:color="auto" w:fill="EEF2F7"/>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83,669</w:t>
            </w:r>
          </w:p>
        </w:tc>
        <w:tc>
          <w:tcPr>
            <w:tcW w:w="300" w:type="dxa"/>
            <w:vAlign w:val="bottom"/>
            <w:shd w:val="clear" w:color="auto" w:fill="EEF2F7"/>
          </w:tcPr>
          <w:p>
            <w:pPr>
              <w:spacing w:after="0"/>
              <w:rPr>
                <w:sz w:val="17"/>
                <w:szCs w:val="17"/>
                <w:color w:val="auto"/>
              </w:rPr>
            </w:pPr>
          </w:p>
        </w:tc>
        <w:tc>
          <w:tcPr>
            <w:tcW w:w="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13,815</w:t>
            </w:r>
          </w:p>
        </w:tc>
        <w:tc>
          <w:tcPr>
            <w:tcW w:w="20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920" w:type="dxa"/>
            <w:vAlign w:val="bottom"/>
            <w:gridSpan w:val="2"/>
            <w:shd w:val="clear" w:color="auto" w:fill="EEF2F7"/>
          </w:tcPr>
          <w:p>
            <w:pPr>
              <w:jc w:val="right"/>
              <w:ind w:right="20"/>
              <w:spacing w:after="0" w:line="202" w:lineRule="exact"/>
              <w:rPr>
                <w:sz w:val="20"/>
                <w:szCs w:val="20"/>
                <w:color w:val="auto"/>
              </w:rPr>
            </w:pPr>
            <w:r>
              <w:rPr>
                <w:rFonts w:ascii="Arial" w:cs="Arial" w:eastAsia="Arial" w:hAnsi="Arial"/>
                <w:sz w:val="18"/>
                <w:szCs w:val="18"/>
                <w:color w:val="auto"/>
              </w:rPr>
              <w:t>17%</w:t>
            </w:r>
          </w:p>
        </w:tc>
      </w:tr>
      <w:tr>
        <w:trPr>
          <w:trHeight w:val="239"/>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Sales and marketing expense increased $13.8 million, or 17%, in the three months ended March 31, 2026, compared to the three months ended March 31, 2025. The increase was due primarily to a $7.3 million increase in advertising and marketing expense for our performance marketing vendors and brand awareness campaigns, a $3.1 million increase in personnel expenses due to an increase in headcount and merit increases, a $1.1 million increase in software and consulting expense, and a $1.0 million increase in commissions expense due to revenue growth.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465B0"/>
        </w:rPr>
        <w:t>Product, Technology, and Development Expense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48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1320" w:type="dxa"/>
            <w:vAlign w:val="bottom"/>
            <w:gridSpan w:val="3"/>
          </w:tcPr>
          <w:p>
            <w:pPr>
              <w:jc w:val="right"/>
              <w:ind w:right="382"/>
              <w:spacing w:after="0" w:line="155"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502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Product, technology, and development</w:t>
            </w:r>
          </w:p>
        </w:tc>
        <w:tc>
          <w:tcPr>
            <w:tcW w:w="220" w:type="dxa"/>
            <w:vAlign w:val="bottom"/>
            <w:shd w:val="clear" w:color="auto" w:fill="EEF2F7"/>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37,671</w:t>
            </w:r>
          </w:p>
        </w:tc>
        <w:tc>
          <w:tcPr>
            <w:tcW w:w="300" w:type="dxa"/>
            <w:vAlign w:val="bottom"/>
            <w:shd w:val="clear" w:color="auto" w:fill="EEF2F7"/>
          </w:tcPr>
          <w:p>
            <w:pPr>
              <w:spacing w:after="0"/>
              <w:rPr>
                <w:sz w:val="17"/>
                <w:szCs w:val="17"/>
                <w:color w:val="auto"/>
              </w:rPr>
            </w:pPr>
          </w:p>
        </w:tc>
        <w:tc>
          <w:tcPr>
            <w:tcW w:w="260" w:type="dxa"/>
            <w:vAlign w:val="bottom"/>
            <w:shd w:val="clear" w:color="auto" w:fill="EEF2F7"/>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35,028</w:t>
            </w:r>
          </w:p>
        </w:tc>
        <w:tc>
          <w:tcPr>
            <w:tcW w:w="300" w:type="dxa"/>
            <w:vAlign w:val="bottom"/>
            <w:shd w:val="clear" w:color="auto" w:fill="EEF2F7"/>
          </w:tcPr>
          <w:p>
            <w:pPr>
              <w:spacing w:after="0"/>
              <w:rPr>
                <w:sz w:val="17"/>
                <w:szCs w:val="17"/>
                <w:color w:val="auto"/>
              </w:rPr>
            </w:pPr>
          </w:p>
        </w:tc>
        <w:tc>
          <w:tcPr>
            <w:tcW w:w="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2,643</w:t>
            </w:r>
          </w:p>
        </w:tc>
        <w:tc>
          <w:tcPr>
            <w:tcW w:w="20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920" w:type="dxa"/>
            <w:vAlign w:val="bottom"/>
            <w:gridSpan w:val="2"/>
            <w:shd w:val="clear" w:color="auto" w:fill="EEF2F7"/>
          </w:tcPr>
          <w:p>
            <w:pPr>
              <w:jc w:val="right"/>
              <w:ind w:right="20"/>
              <w:spacing w:after="0" w:line="202" w:lineRule="exact"/>
              <w:rPr>
                <w:sz w:val="20"/>
                <w:szCs w:val="20"/>
                <w:color w:val="auto"/>
              </w:rPr>
            </w:pPr>
            <w:r>
              <w:rPr>
                <w:rFonts w:ascii="Arial" w:cs="Arial" w:eastAsia="Arial" w:hAnsi="Arial"/>
                <w:sz w:val="18"/>
                <w:szCs w:val="18"/>
                <w:color w:val="auto"/>
              </w:rPr>
              <w:t>8%</w:t>
            </w:r>
          </w:p>
        </w:tc>
      </w:tr>
      <w:tr>
        <w:trPr>
          <w:trHeight w:val="239"/>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Product, technology, and development expense increased $2.6 million, or 8%, in the three months ended March 31, 2026, compared to the three months ended March 31, 2025. The increase was due primarily to a $1.6 million increase in consulting expense and a $1.5 million increase in personnel expenses due to an increase in headcount and merit increases.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3465B0"/>
        </w:rPr>
        <w:t>General and Administrative Expense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48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1320" w:type="dxa"/>
            <w:vAlign w:val="bottom"/>
            <w:gridSpan w:val="3"/>
          </w:tcPr>
          <w:p>
            <w:pPr>
              <w:jc w:val="right"/>
              <w:ind w:right="382"/>
              <w:spacing w:after="0" w:line="155"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502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EEF2F7"/>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26,481</w:t>
            </w:r>
          </w:p>
        </w:tc>
        <w:tc>
          <w:tcPr>
            <w:tcW w:w="300" w:type="dxa"/>
            <w:vAlign w:val="bottom"/>
            <w:shd w:val="clear" w:color="auto" w:fill="EEF2F7"/>
          </w:tcPr>
          <w:p>
            <w:pPr>
              <w:spacing w:after="0"/>
              <w:rPr>
                <w:sz w:val="17"/>
                <w:szCs w:val="17"/>
                <w:color w:val="auto"/>
              </w:rPr>
            </w:pPr>
          </w:p>
        </w:tc>
        <w:tc>
          <w:tcPr>
            <w:tcW w:w="260" w:type="dxa"/>
            <w:vAlign w:val="bottom"/>
            <w:shd w:val="clear" w:color="auto" w:fill="EEF2F7"/>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24,785</w:t>
            </w:r>
          </w:p>
        </w:tc>
        <w:tc>
          <w:tcPr>
            <w:tcW w:w="300" w:type="dxa"/>
            <w:vAlign w:val="bottom"/>
            <w:shd w:val="clear" w:color="auto" w:fill="EEF2F7"/>
          </w:tcPr>
          <w:p>
            <w:pPr>
              <w:spacing w:after="0"/>
              <w:rPr>
                <w:sz w:val="17"/>
                <w:szCs w:val="17"/>
                <w:color w:val="auto"/>
              </w:rPr>
            </w:pPr>
          </w:p>
        </w:tc>
        <w:tc>
          <w:tcPr>
            <w:tcW w:w="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1,696</w:t>
            </w:r>
          </w:p>
        </w:tc>
        <w:tc>
          <w:tcPr>
            <w:tcW w:w="20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920" w:type="dxa"/>
            <w:vAlign w:val="bottom"/>
            <w:gridSpan w:val="2"/>
            <w:shd w:val="clear" w:color="auto" w:fill="EEF2F7"/>
          </w:tcPr>
          <w:p>
            <w:pPr>
              <w:jc w:val="right"/>
              <w:ind w:right="20"/>
              <w:spacing w:after="0" w:line="202" w:lineRule="exact"/>
              <w:rPr>
                <w:sz w:val="20"/>
                <w:szCs w:val="20"/>
                <w:color w:val="auto"/>
              </w:rPr>
            </w:pPr>
            <w:r>
              <w:rPr>
                <w:rFonts w:ascii="Arial" w:cs="Arial" w:eastAsia="Arial" w:hAnsi="Arial"/>
                <w:sz w:val="18"/>
                <w:szCs w:val="18"/>
                <w:color w:val="auto"/>
              </w:rPr>
              <w:t>7%</w:t>
            </w:r>
          </w:p>
        </w:tc>
      </w:tr>
      <w:tr>
        <w:trPr>
          <w:trHeight w:val="239"/>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General and administrative expense increased $1.7 million, or 7%, in the three months ended March 31, 2026, compared to the three months ended March 31, 2025. The increase was due primarily to a $1.3 million increase in professional service expenses primarily driven by legal and consulting expenses, a $0.7 million increase in stock based compensation expense due to new grants partially offset by completed vesting of existing awards and forfeitures from employee departures, and a $1.1 million increase in general expenses. The increase was offset in part by a $1.5 million decrease in indirect tax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3465B0"/>
        </w:rPr>
        <w:t>Impairment Expense</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jc w:val="center"/>
              <w:ind w:right="19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61"/>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r>
      <w:tr>
        <w:trPr>
          <w:trHeight w:val="156"/>
        </w:trPr>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w:t>
            </w:r>
          </w:p>
        </w:tc>
      </w:tr>
      <w:tr>
        <w:trPr>
          <w:trHeight w:val="155"/>
        </w:trPr>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gridSpan w:val="6"/>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3"/>
                <w:szCs w:val="13"/>
                <w:color w:val="auto"/>
              </w:rPr>
            </w:pPr>
          </w:p>
        </w:tc>
      </w:tr>
      <w:tr>
        <w:trPr>
          <w:trHeight w:val="203"/>
        </w:trPr>
        <w:tc>
          <w:tcPr>
            <w:tcW w:w="60" w:type="dxa"/>
            <w:vAlign w:val="bottom"/>
          </w:tcPr>
          <w:p>
            <w:pPr>
              <w:spacing w:after="0"/>
              <w:rPr>
                <w:sz w:val="17"/>
                <w:szCs w:val="17"/>
                <w:color w:val="auto"/>
              </w:rPr>
            </w:pPr>
          </w:p>
        </w:tc>
        <w:tc>
          <w:tcPr>
            <w:tcW w:w="5120" w:type="dxa"/>
            <w:vAlign w:val="bottom"/>
            <w:gridSpan w:val="2"/>
            <w:shd w:val="clear" w:color="auto" w:fill="EEF2F7"/>
          </w:tcPr>
          <w:p>
            <w:pPr>
              <w:spacing w:after="0" w:line="202" w:lineRule="exact"/>
              <w:rPr>
                <w:sz w:val="20"/>
                <w:szCs w:val="20"/>
                <w:color w:val="auto"/>
              </w:rPr>
            </w:pPr>
            <w:r>
              <w:rPr>
                <w:rFonts w:ascii="Arial" w:cs="Arial" w:eastAsia="Arial" w:hAnsi="Arial"/>
                <w:sz w:val="18"/>
                <w:szCs w:val="18"/>
                <w:color w:val="auto"/>
              </w:rPr>
              <w:t>Impairments</w:t>
            </w:r>
          </w:p>
        </w:tc>
        <w:tc>
          <w:tcPr>
            <w:tcW w:w="240" w:type="dxa"/>
            <w:vAlign w:val="bottom"/>
            <w:shd w:val="clear" w:color="auto" w:fill="EEF2F7"/>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19,201</w:t>
            </w:r>
          </w:p>
        </w:tc>
        <w:tc>
          <w:tcPr>
            <w:tcW w:w="240" w:type="dxa"/>
            <w:vAlign w:val="bottom"/>
            <w:shd w:val="clear" w:color="auto" w:fill="EEF2F7"/>
          </w:tcPr>
          <w:p>
            <w:pPr>
              <w:spacing w:after="0"/>
              <w:rPr>
                <w:sz w:val="17"/>
                <w:szCs w:val="17"/>
                <w:color w:val="auto"/>
              </w:rPr>
            </w:pPr>
          </w:p>
        </w:tc>
        <w:tc>
          <w:tcPr>
            <w:tcW w:w="320" w:type="dxa"/>
            <w:vAlign w:val="bottom"/>
            <w:gridSpan w:val="2"/>
            <w:shd w:val="clear" w:color="auto" w:fill="EEF2F7"/>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EEF2F7"/>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19,201</w:t>
            </w:r>
          </w:p>
        </w:tc>
        <w:tc>
          <w:tcPr>
            <w:tcW w:w="220" w:type="dxa"/>
            <w:vAlign w:val="bottom"/>
            <w:shd w:val="clear" w:color="auto" w:fill="EEF2F7"/>
          </w:tcPr>
          <w:p>
            <w:pPr>
              <w:spacing w:after="0"/>
              <w:rPr>
                <w:sz w:val="17"/>
                <w:szCs w:val="17"/>
                <w:color w:val="auto"/>
              </w:rPr>
            </w:pPr>
          </w:p>
        </w:tc>
        <w:tc>
          <w:tcPr>
            <w:tcW w:w="340" w:type="dxa"/>
            <w:vAlign w:val="bottom"/>
            <w:shd w:val="clear" w:color="auto" w:fill="EEF2F7"/>
          </w:tcPr>
          <w:p>
            <w:pPr>
              <w:spacing w:after="0"/>
              <w:rPr>
                <w:sz w:val="17"/>
                <w:szCs w:val="17"/>
                <w:color w:val="auto"/>
              </w:rPr>
            </w:pPr>
          </w:p>
        </w:tc>
        <w:tc>
          <w:tcPr>
            <w:tcW w:w="780" w:type="dxa"/>
            <w:vAlign w:val="bottom"/>
            <w:shd w:val="clear" w:color="auto" w:fill="EEF2F7"/>
          </w:tcPr>
          <w:p>
            <w:pPr>
              <w:jc w:val="right"/>
              <w:spacing w:after="0" w:line="202" w:lineRule="exact"/>
              <w:rPr>
                <w:sz w:val="20"/>
                <w:szCs w:val="20"/>
                <w:color w:val="auto"/>
              </w:rPr>
            </w:pPr>
            <w:r>
              <w:rPr>
                <w:rFonts w:ascii="Arial" w:cs="Arial" w:eastAsia="Arial" w:hAnsi="Arial"/>
                <w:sz w:val="23"/>
                <w:szCs w:val="23"/>
                <w:color w:val="auto"/>
                <w:vertAlign w:val="subscript"/>
              </w:rPr>
              <w:t>NM</w:t>
            </w:r>
            <w:r>
              <w:rPr>
                <w:rFonts w:ascii="Arial" w:cs="Arial" w:eastAsia="Arial" w:hAnsi="Arial"/>
                <w:sz w:val="10"/>
                <w:szCs w:val="10"/>
                <w:color w:val="auto"/>
              </w:rPr>
              <w:t>(1)</w:t>
            </w:r>
          </w:p>
        </w:tc>
      </w:tr>
      <w:tr>
        <w:trPr>
          <w:trHeight w:val="189"/>
        </w:trPr>
        <w:tc>
          <w:tcPr>
            <w:tcW w:w="60" w:type="dxa"/>
            <w:vAlign w:val="bottom"/>
          </w:tcPr>
          <w:p>
            <w:pPr>
              <w:spacing w:after="0"/>
              <w:rPr>
                <w:sz w:val="16"/>
                <w:szCs w:val="16"/>
                <w:color w:val="auto"/>
              </w:rPr>
            </w:pPr>
          </w:p>
        </w:tc>
        <w:tc>
          <w:tcPr>
            <w:tcW w:w="5120" w:type="dxa"/>
            <w:vAlign w:val="bottom"/>
            <w:gridSpan w:val="2"/>
          </w:tcPr>
          <w:p>
            <w:pPr>
              <w:spacing w:after="0" w:line="189" w:lineRule="exact"/>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color w:val="00002D"/>
                <w:w w:val="85"/>
              </w:rPr>
              <w:t>(1)</w:t>
            </w:r>
          </w:p>
        </w:tc>
        <w:tc>
          <w:tcPr>
            <w:tcW w:w="4860" w:type="dxa"/>
            <w:vAlign w:val="bottom"/>
          </w:tcPr>
          <w:p>
            <w:pPr>
              <w:ind w:left="180"/>
              <w:spacing w:after="0"/>
              <w:rPr>
                <w:sz w:val="20"/>
                <w:szCs w:val="20"/>
                <w:color w:val="auto"/>
              </w:rPr>
            </w:pPr>
            <w:r>
              <w:rPr>
                <w:rFonts w:ascii="Arial" w:cs="Arial" w:eastAsia="Arial" w:hAnsi="Arial"/>
                <w:sz w:val="12"/>
                <w:szCs w:val="12"/>
                <w:color w:val="00002D"/>
              </w:rPr>
              <w:t>Not meaningful.</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Impairment expense increased $19.2 million in the three months ended March 31, 2026, compared to the three months ended March 31, 2025. The increase was due primarily to the impairment of the 121 First Street lease during the three months ended March 31, 2026. For further discussion of the lease impairment, refer to Note 9 of the Unaudited Condensed Consolidated Financial Statements included elsewhere in this Quarterly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3465B0"/>
        </w:rPr>
        <w:t>Depreciation and Amortization Expense</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center"/>
              <w:ind w:right="50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r>
      <w:tr>
        <w:trPr>
          <w:trHeight w:val="155"/>
        </w:trPr>
        <w:tc>
          <w:tcPr>
            <w:tcW w:w="3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13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3"/>
        </w:trPr>
        <w:tc>
          <w:tcPr>
            <w:tcW w:w="36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520" w:type="dxa"/>
            <w:vAlign w:val="bottom"/>
            <w:gridSpan w:val="2"/>
            <w:shd w:val="clear" w:color="auto" w:fill="EEF2F7"/>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3,705</w:t>
            </w:r>
          </w:p>
        </w:tc>
        <w:tc>
          <w:tcPr>
            <w:tcW w:w="300" w:type="dxa"/>
            <w:vAlign w:val="bottom"/>
            <w:shd w:val="clear" w:color="auto" w:fill="EEF2F7"/>
          </w:tcPr>
          <w:p>
            <w:pPr>
              <w:spacing w:after="0"/>
              <w:rPr>
                <w:sz w:val="17"/>
                <w:szCs w:val="17"/>
                <w:color w:val="auto"/>
              </w:rPr>
            </w:pPr>
          </w:p>
        </w:tc>
        <w:tc>
          <w:tcPr>
            <w:tcW w:w="280" w:type="dxa"/>
            <w:vAlign w:val="bottom"/>
            <w:shd w:val="clear" w:color="auto" w:fill="EEF2F7"/>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3,756</w:t>
            </w:r>
          </w:p>
        </w:tc>
        <w:tc>
          <w:tcPr>
            <w:tcW w:w="280" w:type="dxa"/>
            <w:vAlign w:val="bottom"/>
            <w:shd w:val="clear" w:color="auto" w:fill="EEF2F7"/>
          </w:tcPr>
          <w:p>
            <w:pPr>
              <w:spacing w:after="0"/>
              <w:rPr>
                <w:sz w:val="17"/>
                <w:szCs w:val="17"/>
                <w:color w:val="auto"/>
              </w:rPr>
            </w:pPr>
          </w:p>
        </w:tc>
        <w:tc>
          <w:tcPr>
            <w:tcW w:w="18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F2F7"/>
          </w:tcPr>
          <w:p>
            <w:pPr>
              <w:jc w:val="right"/>
              <w:ind w:right="140"/>
              <w:spacing w:after="0" w:line="202" w:lineRule="exact"/>
              <w:rPr>
                <w:sz w:val="20"/>
                <w:szCs w:val="20"/>
                <w:color w:val="auto"/>
              </w:rPr>
            </w:pPr>
            <w:r>
              <w:rPr>
                <w:rFonts w:ascii="Arial" w:cs="Arial" w:eastAsia="Arial" w:hAnsi="Arial"/>
                <w:sz w:val="18"/>
                <w:szCs w:val="18"/>
                <w:color w:val="auto"/>
              </w:rPr>
              <w:t>(51)</w:t>
            </w:r>
          </w:p>
        </w:tc>
        <w:tc>
          <w:tcPr>
            <w:tcW w:w="300" w:type="dxa"/>
            <w:vAlign w:val="bottom"/>
            <w:shd w:val="clear" w:color="auto" w:fill="EEF2F7"/>
          </w:tcPr>
          <w:p>
            <w:pPr>
              <w:spacing w:after="0"/>
              <w:rPr>
                <w:sz w:val="17"/>
                <w:szCs w:val="17"/>
                <w:color w:val="auto"/>
              </w:rPr>
            </w:pPr>
          </w:p>
        </w:tc>
        <w:tc>
          <w:tcPr>
            <w:tcW w:w="98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39"/>
        </w:trPr>
        <w:tc>
          <w:tcPr>
            <w:tcW w:w="36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Depreciation and amortization expense remained relatively flat in the three months ended March 31, 2026, compared to the three months ended March 31, 2025.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Other Income, net</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r>
      <w:tr>
        <w:trPr>
          <w:trHeight w:val="155"/>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6"/>
          </w:tcPr>
          <w:p>
            <w:pPr>
              <w:ind w:left="1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3"/>
        </w:trPr>
        <w:tc>
          <w:tcPr>
            <w:tcW w:w="4980" w:type="dxa"/>
            <w:vAlign w:val="bottom"/>
            <w:shd w:val="clear" w:color="auto" w:fill="EEF2F7"/>
          </w:tcPr>
          <w:p>
            <w:pPr>
              <w:spacing w:after="0" w:line="202" w:lineRule="exact"/>
              <w:rPr>
                <w:sz w:val="20"/>
                <w:szCs w:val="20"/>
                <w:color w:val="auto"/>
              </w:rPr>
            </w:pPr>
            <w:r>
              <w:rPr>
                <w:rFonts w:ascii="Arial" w:cs="Arial" w:eastAsia="Arial" w:hAnsi="Arial"/>
                <w:sz w:val="18"/>
                <w:szCs w:val="18"/>
                <w:b w:val="1"/>
                <w:bCs w:val="1"/>
                <w:color w:val="auto"/>
              </w:rPr>
              <w:t>Other income, net</w:t>
            </w:r>
          </w:p>
        </w:tc>
        <w:tc>
          <w:tcPr>
            <w:tcW w:w="220" w:type="dxa"/>
            <w:vAlign w:val="bottom"/>
            <w:shd w:val="clear" w:color="auto" w:fill="EEF2F7"/>
          </w:tcPr>
          <w:p>
            <w:pPr>
              <w:spacing w:after="0"/>
              <w:rPr>
                <w:sz w:val="17"/>
                <w:szCs w:val="17"/>
                <w:color w:val="auto"/>
              </w:rPr>
            </w:pPr>
          </w:p>
        </w:tc>
        <w:tc>
          <w:tcPr>
            <w:tcW w:w="800" w:type="dxa"/>
            <w:vAlign w:val="bottom"/>
            <w:shd w:val="clear" w:color="auto" w:fill="EEF2F7"/>
          </w:tcPr>
          <w:p>
            <w:pPr>
              <w:spacing w:after="0"/>
              <w:rPr>
                <w:sz w:val="17"/>
                <w:szCs w:val="17"/>
                <w:color w:val="auto"/>
              </w:rPr>
            </w:pPr>
          </w:p>
        </w:tc>
        <w:tc>
          <w:tcPr>
            <w:tcW w:w="300" w:type="dxa"/>
            <w:vAlign w:val="bottom"/>
            <w:tcBorders>
              <w:right w:val="single" w:sz="8" w:color="EEF2F7"/>
            </w:tcBorders>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c>
          <w:tcPr>
            <w:tcW w:w="760" w:type="dxa"/>
            <w:vAlign w:val="bottom"/>
            <w:shd w:val="clear" w:color="auto" w:fill="EEF2F7"/>
          </w:tcPr>
          <w:p>
            <w:pPr>
              <w:spacing w:after="0"/>
              <w:rPr>
                <w:sz w:val="17"/>
                <w:szCs w:val="17"/>
                <w:color w:val="auto"/>
              </w:rPr>
            </w:pPr>
          </w:p>
        </w:tc>
        <w:tc>
          <w:tcPr>
            <w:tcW w:w="280" w:type="dxa"/>
            <w:vAlign w:val="bottom"/>
            <w:shd w:val="clear" w:color="auto" w:fill="EEF2F7"/>
          </w:tcPr>
          <w:p>
            <w:pPr>
              <w:spacing w:after="0"/>
              <w:rPr>
                <w:sz w:val="17"/>
                <w:szCs w:val="17"/>
                <w:color w:val="auto"/>
              </w:rPr>
            </w:pPr>
          </w:p>
        </w:tc>
        <w:tc>
          <w:tcPr>
            <w:tcW w:w="180" w:type="dxa"/>
            <w:vAlign w:val="bottom"/>
            <w:shd w:val="clear" w:color="auto" w:fill="EEF2F7"/>
          </w:tcPr>
          <w:p>
            <w:pPr>
              <w:spacing w:after="0"/>
              <w:rPr>
                <w:sz w:val="17"/>
                <w:szCs w:val="17"/>
                <w:color w:val="auto"/>
              </w:rPr>
            </w:pPr>
          </w:p>
        </w:tc>
        <w:tc>
          <w:tcPr>
            <w:tcW w:w="860" w:type="dxa"/>
            <w:vAlign w:val="bottom"/>
            <w:shd w:val="clear" w:color="auto" w:fill="EEF2F7"/>
          </w:tcPr>
          <w:p>
            <w:pPr>
              <w:spacing w:after="0"/>
              <w:rPr>
                <w:sz w:val="17"/>
                <w:szCs w:val="17"/>
                <w:color w:val="auto"/>
              </w:rPr>
            </w:pPr>
          </w:p>
        </w:tc>
        <w:tc>
          <w:tcPr>
            <w:tcW w:w="18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72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3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3,098</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(1,427)</w:t>
            </w:r>
          </w:p>
        </w:tc>
        <w:tc>
          <w:tcPr>
            <w:tcW w:w="3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9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Other expense, net</w:t>
            </w:r>
          </w:p>
        </w:tc>
        <w:tc>
          <w:tcPr>
            <w:tcW w:w="220" w:type="dxa"/>
            <w:vAlign w:val="bottom"/>
            <w:shd w:val="clear" w:color="auto" w:fill="EEF2F7"/>
          </w:tcPr>
          <w:p>
            <w:pPr>
              <w:spacing w:after="0"/>
              <w:rPr>
                <w:sz w:val="17"/>
                <w:szCs w:val="17"/>
                <w:color w:val="auto"/>
              </w:rPr>
            </w:pPr>
          </w:p>
        </w:tc>
        <w:tc>
          <w:tcPr>
            <w:tcW w:w="1100" w:type="dxa"/>
            <w:vAlign w:val="bottom"/>
            <w:tcBorders>
              <w:right w:val="single" w:sz="8" w:color="EEF2F7"/>
            </w:tcBorders>
            <w:gridSpan w:val="2"/>
            <w:shd w:val="clear" w:color="auto" w:fill="EEF2F7"/>
          </w:tcPr>
          <w:p>
            <w:pPr>
              <w:jc w:val="right"/>
              <w:ind w:right="240"/>
              <w:spacing w:after="0" w:line="202" w:lineRule="exact"/>
              <w:rPr>
                <w:sz w:val="20"/>
                <w:szCs w:val="20"/>
                <w:color w:val="auto"/>
              </w:rPr>
            </w:pPr>
            <w:r>
              <w:rPr>
                <w:rFonts w:ascii="Arial" w:cs="Arial" w:eastAsia="Arial" w:hAnsi="Arial"/>
                <w:sz w:val="18"/>
                <w:szCs w:val="18"/>
                <w:color w:val="auto"/>
              </w:rPr>
              <w:t>(606)</w:t>
            </w:r>
          </w:p>
        </w:tc>
        <w:tc>
          <w:tcPr>
            <w:tcW w:w="260" w:type="dxa"/>
            <w:vAlign w:val="bottom"/>
            <w:shd w:val="clear" w:color="auto" w:fill="EEF2F7"/>
          </w:tcPr>
          <w:p>
            <w:pPr>
              <w:spacing w:after="0"/>
              <w:rPr>
                <w:sz w:val="17"/>
                <w:szCs w:val="17"/>
                <w:color w:val="auto"/>
              </w:rPr>
            </w:pPr>
          </w:p>
        </w:tc>
        <w:tc>
          <w:tcPr>
            <w:tcW w:w="1040" w:type="dxa"/>
            <w:vAlign w:val="bottom"/>
            <w:gridSpan w:val="2"/>
            <w:shd w:val="clear" w:color="auto" w:fill="EEF2F7"/>
          </w:tcPr>
          <w:p>
            <w:pPr>
              <w:jc w:val="right"/>
              <w:ind w:right="220"/>
              <w:spacing w:after="0" w:line="202" w:lineRule="exact"/>
              <w:rPr>
                <w:sz w:val="20"/>
                <w:szCs w:val="20"/>
                <w:color w:val="auto"/>
              </w:rPr>
            </w:pPr>
            <w:r>
              <w:rPr>
                <w:rFonts w:ascii="Arial" w:cs="Arial" w:eastAsia="Arial" w:hAnsi="Arial"/>
                <w:sz w:val="18"/>
                <w:szCs w:val="18"/>
                <w:color w:val="auto"/>
              </w:rPr>
              <w:t>(302)</w:t>
            </w:r>
          </w:p>
        </w:tc>
        <w:tc>
          <w:tcPr>
            <w:tcW w:w="180" w:type="dxa"/>
            <w:vAlign w:val="bottom"/>
            <w:shd w:val="clear" w:color="auto" w:fill="EEF2F7"/>
          </w:tcPr>
          <w:p>
            <w:pPr>
              <w:spacing w:after="0"/>
              <w:rPr>
                <w:sz w:val="17"/>
                <w:szCs w:val="17"/>
                <w:color w:val="auto"/>
              </w:rPr>
            </w:pPr>
          </w:p>
        </w:tc>
        <w:tc>
          <w:tcPr>
            <w:tcW w:w="1040" w:type="dxa"/>
            <w:vAlign w:val="bottom"/>
            <w:gridSpan w:val="2"/>
            <w:shd w:val="clear" w:color="auto" w:fill="EEF2F7"/>
          </w:tcPr>
          <w:p>
            <w:pPr>
              <w:jc w:val="right"/>
              <w:ind w:right="120"/>
              <w:spacing w:after="0" w:line="202" w:lineRule="exact"/>
              <w:rPr>
                <w:sz w:val="20"/>
                <w:szCs w:val="20"/>
                <w:color w:val="auto"/>
              </w:rPr>
            </w:pPr>
            <w:r>
              <w:rPr>
                <w:rFonts w:ascii="Arial" w:cs="Arial" w:eastAsia="Arial" w:hAnsi="Arial"/>
                <w:sz w:val="18"/>
                <w:szCs w:val="18"/>
                <w:color w:val="auto"/>
              </w:rPr>
              <w:t>(304)</w:t>
            </w:r>
          </w:p>
        </w:tc>
        <w:tc>
          <w:tcPr>
            <w:tcW w:w="300" w:type="dxa"/>
            <w:vAlign w:val="bottom"/>
            <w:shd w:val="clear" w:color="auto" w:fill="EEF2F7"/>
          </w:tcPr>
          <w:p>
            <w:pPr>
              <w:spacing w:after="0"/>
              <w:rPr>
                <w:sz w:val="17"/>
                <w:szCs w:val="17"/>
                <w:color w:val="auto"/>
              </w:rPr>
            </w:pPr>
          </w:p>
        </w:tc>
        <w:tc>
          <w:tcPr>
            <w:tcW w:w="98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(101)%</w:t>
            </w:r>
          </w:p>
        </w:tc>
      </w:tr>
      <w:tr>
        <w:trPr>
          <w:trHeight w:val="20"/>
        </w:trPr>
        <w:tc>
          <w:tcPr>
            <w:tcW w:w="4980" w:type="dxa"/>
            <w:vAlign w:val="bottom"/>
            <w:shd w:val="clear" w:color="auto" w:fill="EEF2F7"/>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EEF2F7"/>
            </w:tcBorders>
            <w:shd w:val="clear" w:color="auto" w:fill="EEF2F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EEF2F7"/>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EEF2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EEF2F7"/>
          </w:tcPr>
          <w:p>
            <w:pPr>
              <w:spacing w:after="0" w:line="20" w:lineRule="exact"/>
              <w:rPr>
                <w:sz w:val="1"/>
                <w:szCs w:val="1"/>
                <w:color w:val="auto"/>
              </w:rPr>
            </w:pPr>
          </w:p>
        </w:tc>
      </w:tr>
      <w:tr>
        <w:trPr>
          <w:trHeight w:val="196"/>
        </w:trPr>
        <w:tc>
          <w:tcPr>
            <w:tcW w:w="4980" w:type="dxa"/>
            <w:vAlign w:val="bottom"/>
          </w:tcPr>
          <w:p>
            <w:pPr>
              <w:ind w:left="80"/>
              <w:spacing w:after="0" w:line="196" w:lineRule="exact"/>
              <w:rPr>
                <w:sz w:val="20"/>
                <w:szCs w:val="20"/>
                <w:color w:val="auto"/>
              </w:rPr>
            </w:pPr>
            <w:r>
              <w:rPr>
                <w:rFonts w:ascii="Arial" w:cs="Arial" w:eastAsia="Arial" w:hAnsi="Arial"/>
                <w:sz w:val="18"/>
                <w:szCs w:val="18"/>
                <w:color w:val="auto"/>
              </w:rPr>
              <w:t>Total other income, net</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1,065</w:t>
            </w:r>
          </w:p>
        </w:tc>
        <w:tc>
          <w:tcPr>
            <w:tcW w:w="3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2,796</w:t>
            </w:r>
          </w:p>
        </w:tc>
        <w:tc>
          <w:tcPr>
            <w:tcW w:w="2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(1,731)</w:t>
            </w:r>
          </w:p>
        </w:tc>
        <w:tc>
          <w:tcPr>
            <w:tcW w:w="30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(62)%</w:t>
            </w:r>
          </w:p>
        </w:tc>
      </w:tr>
      <w:tr>
        <w:trPr>
          <w:trHeight w:val="20"/>
        </w:trPr>
        <w:tc>
          <w:tcPr>
            <w:tcW w:w="4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4980" w:type="dxa"/>
            <w:vAlign w:val="bottom"/>
            <w:shd w:val="clear" w:color="auto" w:fill="EEF2F7"/>
          </w:tcPr>
          <w:p>
            <w:pPr>
              <w:spacing w:after="0" w:line="183" w:lineRule="exact"/>
              <w:rPr>
                <w:sz w:val="20"/>
                <w:szCs w:val="20"/>
                <w:color w:val="auto"/>
              </w:rPr>
            </w:pPr>
            <w:r>
              <w:rPr>
                <w:rFonts w:ascii="Arial" w:cs="Arial" w:eastAsia="Arial" w:hAnsi="Arial"/>
                <w:sz w:val="18"/>
                <w:szCs w:val="18"/>
                <w:b w:val="1"/>
                <w:bCs w:val="1"/>
                <w:color w:val="auto"/>
              </w:rPr>
              <w:t>Percentage of total revenue</w:t>
            </w:r>
          </w:p>
        </w:tc>
        <w:tc>
          <w:tcPr>
            <w:tcW w:w="220" w:type="dxa"/>
            <w:vAlign w:val="bottom"/>
            <w:shd w:val="clear" w:color="auto" w:fill="EEF2F7"/>
          </w:tcPr>
          <w:p>
            <w:pPr>
              <w:spacing w:after="0"/>
              <w:rPr>
                <w:sz w:val="15"/>
                <w:szCs w:val="15"/>
                <w:color w:val="auto"/>
              </w:rPr>
            </w:pPr>
          </w:p>
        </w:tc>
        <w:tc>
          <w:tcPr>
            <w:tcW w:w="800" w:type="dxa"/>
            <w:vAlign w:val="bottom"/>
            <w:shd w:val="clear" w:color="auto" w:fill="EEF2F7"/>
          </w:tcPr>
          <w:p>
            <w:pPr>
              <w:spacing w:after="0"/>
              <w:rPr>
                <w:sz w:val="15"/>
                <w:szCs w:val="15"/>
                <w:color w:val="auto"/>
              </w:rPr>
            </w:pPr>
          </w:p>
        </w:tc>
        <w:tc>
          <w:tcPr>
            <w:tcW w:w="300" w:type="dxa"/>
            <w:vAlign w:val="bottom"/>
            <w:tcBorders>
              <w:right w:val="single" w:sz="8" w:color="EEF2F7"/>
            </w:tcBorders>
            <w:shd w:val="clear" w:color="auto" w:fill="EEF2F7"/>
          </w:tcPr>
          <w:p>
            <w:pPr>
              <w:spacing w:after="0"/>
              <w:rPr>
                <w:sz w:val="15"/>
                <w:szCs w:val="15"/>
                <w:color w:val="auto"/>
              </w:rPr>
            </w:pPr>
          </w:p>
        </w:tc>
        <w:tc>
          <w:tcPr>
            <w:tcW w:w="260" w:type="dxa"/>
            <w:vAlign w:val="bottom"/>
            <w:shd w:val="clear" w:color="auto" w:fill="EEF2F7"/>
          </w:tcPr>
          <w:p>
            <w:pPr>
              <w:spacing w:after="0"/>
              <w:rPr>
                <w:sz w:val="15"/>
                <w:szCs w:val="15"/>
                <w:color w:val="auto"/>
              </w:rPr>
            </w:pPr>
          </w:p>
        </w:tc>
        <w:tc>
          <w:tcPr>
            <w:tcW w:w="760" w:type="dxa"/>
            <w:vAlign w:val="bottom"/>
            <w:shd w:val="clear" w:color="auto" w:fill="EEF2F7"/>
          </w:tcPr>
          <w:p>
            <w:pPr>
              <w:spacing w:after="0"/>
              <w:rPr>
                <w:sz w:val="15"/>
                <w:szCs w:val="15"/>
                <w:color w:val="auto"/>
              </w:rPr>
            </w:pPr>
          </w:p>
        </w:tc>
        <w:tc>
          <w:tcPr>
            <w:tcW w:w="280" w:type="dxa"/>
            <w:vAlign w:val="bottom"/>
            <w:shd w:val="clear" w:color="auto" w:fill="EEF2F7"/>
          </w:tcPr>
          <w:p>
            <w:pPr>
              <w:spacing w:after="0"/>
              <w:rPr>
                <w:sz w:val="15"/>
                <w:szCs w:val="15"/>
                <w:color w:val="auto"/>
              </w:rPr>
            </w:pPr>
          </w:p>
        </w:tc>
        <w:tc>
          <w:tcPr>
            <w:tcW w:w="180" w:type="dxa"/>
            <w:vAlign w:val="bottom"/>
            <w:shd w:val="clear" w:color="auto" w:fill="EEF2F7"/>
          </w:tcPr>
          <w:p>
            <w:pPr>
              <w:spacing w:after="0"/>
              <w:rPr>
                <w:sz w:val="15"/>
                <w:szCs w:val="15"/>
                <w:color w:val="auto"/>
              </w:rPr>
            </w:pPr>
          </w:p>
        </w:tc>
        <w:tc>
          <w:tcPr>
            <w:tcW w:w="860" w:type="dxa"/>
            <w:vAlign w:val="bottom"/>
            <w:shd w:val="clear" w:color="auto" w:fill="EEF2F7"/>
          </w:tcPr>
          <w:p>
            <w:pPr>
              <w:spacing w:after="0"/>
              <w:rPr>
                <w:sz w:val="15"/>
                <w:szCs w:val="15"/>
                <w:color w:val="auto"/>
              </w:rPr>
            </w:pPr>
          </w:p>
        </w:tc>
        <w:tc>
          <w:tcPr>
            <w:tcW w:w="180" w:type="dxa"/>
            <w:vAlign w:val="bottom"/>
            <w:shd w:val="clear" w:color="auto" w:fill="EEF2F7"/>
          </w:tcPr>
          <w:p>
            <w:pPr>
              <w:spacing w:after="0"/>
              <w:rPr>
                <w:sz w:val="15"/>
                <w:szCs w:val="15"/>
                <w:color w:val="auto"/>
              </w:rPr>
            </w:pPr>
          </w:p>
        </w:tc>
        <w:tc>
          <w:tcPr>
            <w:tcW w:w="300" w:type="dxa"/>
            <w:vAlign w:val="bottom"/>
            <w:shd w:val="clear" w:color="auto" w:fill="EEF2F7"/>
          </w:tcPr>
          <w:p>
            <w:pPr>
              <w:spacing w:after="0"/>
              <w:rPr>
                <w:sz w:val="15"/>
                <w:szCs w:val="15"/>
                <w:color w:val="auto"/>
              </w:rPr>
            </w:pPr>
          </w:p>
        </w:tc>
        <w:tc>
          <w:tcPr>
            <w:tcW w:w="720" w:type="dxa"/>
            <w:vAlign w:val="bottom"/>
            <w:shd w:val="clear" w:color="auto" w:fill="EEF2F7"/>
          </w:tcPr>
          <w:p>
            <w:pPr>
              <w:spacing w:after="0"/>
              <w:rPr>
                <w:sz w:val="15"/>
                <w:szCs w:val="15"/>
                <w:color w:val="auto"/>
              </w:rPr>
            </w:pPr>
          </w:p>
        </w:tc>
        <w:tc>
          <w:tcPr>
            <w:tcW w:w="260" w:type="dxa"/>
            <w:vAlign w:val="bottom"/>
            <w:shd w:val="clear" w:color="auto" w:fill="EEF2F7"/>
          </w:tcPr>
          <w:p>
            <w:pPr>
              <w:spacing w:after="0"/>
              <w:rPr>
                <w:sz w:val="15"/>
                <w:szCs w:val="15"/>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9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Other expense, net</w:t>
            </w:r>
          </w:p>
        </w:tc>
        <w:tc>
          <w:tcPr>
            <w:tcW w:w="220" w:type="dxa"/>
            <w:vAlign w:val="bottom"/>
            <w:shd w:val="clear" w:color="auto" w:fill="EEF2F7"/>
          </w:tcPr>
          <w:p>
            <w:pPr>
              <w:spacing w:after="0"/>
              <w:rPr>
                <w:sz w:val="17"/>
                <w:szCs w:val="17"/>
                <w:color w:val="auto"/>
              </w:rPr>
            </w:pPr>
          </w:p>
        </w:tc>
        <w:tc>
          <w:tcPr>
            <w:tcW w:w="1100" w:type="dxa"/>
            <w:vAlign w:val="bottom"/>
            <w:tcBorders>
              <w:right w:val="single" w:sz="8" w:color="EEF2F7"/>
            </w:tcBorders>
            <w:gridSpan w:val="2"/>
            <w:shd w:val="clear" w:color="auto" w:fill="EEF2F7"/>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EEF2F7"/>
          </w:tcPr>
          <w:p>
            <w:pPr>
              <w:spacing w:after="0"/>
              <w:rPr>
                <w:sz w:val="17"/>
                <w:szCs w:val="17"/>
                <w:color w:val="auto"/>
              </w:rPr>
            </w:pPr>
          </w:p>
        </w:tc>
        <w:tc>
          <w:tcPr>
            <w:tcW w:w="1040" w:type="dxa"/>
            <w:vAlign w:val="bottom"/>
            <w:gridSpan w:val="2"/>
            <w:shd w:val="clear" w:color="auto" w:fill="EEF2F7"/>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EEF2F7"/>
          </w:tcPr>
          <w:p>
            <w:pPr>
              <w:spacing w:after="0"/>
              <w:rPr>
                <w:sz w:val="17"/>
                <w:szCs w:val="17"/>
                <w:color w:val="auto"/>
              </w:rPr>
            </w:pPr>
          </w:p>
        </w:tc>
        <w:tc>
          <w:tcPr>
            <w:tcW w:w="860" w:type="dxa"/>
            <w:vAlign w:val="bottom"/>
            <w:shd w:val="clear" w:color="auto" w:fill="EEF2F7"/>
          </w:tcPr>
          <w:p>
            <w:pPr>
              <w:spacing w:after="0"/>
              <w:rPr>
                <w:sz w:val="17"/>
                <w:szCs w:val="17"/>
                <w:color w:val="auto"/>
              </w:rPr>
            </w:pPr>
          </w:p>
        </w:tc>
        <w:tc>
          <w:tcPr>
            <w:tcW w:w="180" w:type="dxa"/>
            <w:vAlign w:val="bottom"/>
            <w:shd w:val="clear" w:color="auto" w:fill="EEF2F7"/>
          </w:tcPr>
          <w:p>
            <w:pPr>
              <w:spacing w:after="0"/>
              <w:rPr>
                <w:sz w:val="17"/>
                <w:szCs w:val="17"/>
                <w:color w:val="auto"/>
              </w:rPr>
            </w:pPr>
          </w:p>
        </w:tc>
        <w:tc>
          <w:tcPr>
            <w:tcW w:w="300" w:type="dxa"/>
            <w:vAlign w:val="bottom"/>
            <w:shd w:val="clear" w:color="auto" w:fill="EEF2F7"/>
          </w:tcPr>
          <w:p>
            <w:pPr>
              <w:spacing w:after="0"/>
              <w:rPr>
                <w:sz w:val="17"/>
                <w:szCs w:val="17"/>
                <w:color w:val="auto"/>
              </w:rPr>
            </w:pPr>
          </w:p>
        </w:tc>
        <w:tc>
          <w:tcPr>
            <w:tcW w:w="720" w:type="dxa"/>
            <w:vAlign w:val="bottom"/>
            <w:shd w:val="clear" w:color="auto" w:fill="EEF2F7"/>
          </w:tcPr>
          <w:p>
            <w:pPr>
              <w:spacing w:after="0"/>
              <w:rPr>
                <w:sz w:val="17"/>
                <w:szCs w:val="17"/>
                <w:color w:val="auto"/>
              </w:rPr>
            </w:pPr>
          </w:p>
        </w:tc>
        <w:tc>
          <w:tcPr>
            <w:tcW w:w="260" w:type="dxa"/>
            <w:vAlign w:val="bottom"/>
            <w:shd w:val="clear" w:color="auto" w:fill="EEF2F7"/>
          </w:tcPr>
          <w:p>
            <w:pPr>
              <w:spacing w:after="0"/>
              <w:rPr>
                <w:sz w:val="17"/>
                <w:szCs w:val="17"/>
                <w:color w:val="auto"/>
              </w:rPr>
            </w:pPr>
          </w:p>
        </w:tc>
      </w:tr>
      <w:tr>
        <w:trPr>
          <w:trHeight w:val="20"/>
        </w:trPr>
        <w:tc>
          <w:tcPr>
            <w:tcW w:w="4980" w:type="dxa"/>
            <w:vAlign w:val="bottom"/>
            <w:shd w:val="clear" w:color="auto" w:fill="EEF2F7"/>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EEF2F7"/>
            </w:tcBorders>
            <w:shd w:val="clear" w:color="auto" w:fill="EEF2F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EEF2F7"/>
          </w:tcPr>
          <w:p>
            <w:pPr>
              <w:spacing w:after="0" w:line="20" w:lineRule="exact"/>
              <w:rPr>
                <w:sz w:val="1"/>
                <w:szCs w:val="1"/>
                <w:color w:val="auto"/>
              </w:rPr>
            </w:pPr>
          </w:p>
        </w:tc>
        <w:tc>
          <w:tcPr>
            <w:tcW w:w="180" w:type="dxa"/>
            <w:vAlign w:val="bottom"/>
            <w:shd w:val="clear" w:color="auto" w:fill="EEF2F7"/>
          </w:tcPr>
          <w:p>
            <w:pPr>
              <w:spacing w:after="0" w:line="20" w:lineRule="exact"/>
              <w:rPr>
                <w:sz w:val="1"/>
                <w:szCs w:val="1"/>
                <w:color w:val="auto"/>
              </w:rPr>
            </w:pPr>
          </w:p>
        </w:tc>
        <w:tc>
          <w:tcPr>
            <w:tcW w:w="860" w:type="dxa"/>
            <w:vAlign w:val="bottom"/>
            <w:shd w:val="clear" w:color="auto" w:fill="EEF2F7"/>
          </w:tcPr>
          <w:p>
            <w:pPr>
              <w:spacing w:after="0" w:line="20" w:lineRule="exact"/>
              <w:rPr>
                <w:sz w:val="1"/>
                <w:szCs w:val="1"/>
                <w:color w:val="auto"/>
              </w:rPr>
            </w:pPr>
          </w:p>
        </w:tc>
        <w:tc>
          <w:tcPr>
            <w:tcW w:w="180" w:type="dxa"/>
            <w:vAlign w:val="bottom"/>
            <w:shd w:val="clear" w:color="auto" w:fill="EEF2F7"/>
          </w:tcPr>
          <w:p>
            <w:pPr>
              <w:spacing w:after="0" w:line="20" w:lineRule="exact"/>
              <w:rPr>
                <w:sz w:val="1"/>
                <w:szCs w:val="1"/>
                <w:color w:val="auto"/>
              </w:rPr>
            </w:pPr>
          </w:p>
        </w:tc>
        <w:tc>
          <w:tcPr>
            <w:tcW w:w="300" w:type="dxa"/>
            <w:vAlign w:val="bottom"/>
            <w:shd w:val="clear" w:color="auto" w:fill="EEF2F7"/>
          </w:tcPr>
          <w:p>
            <w:pPr>
              <w:spacing w:after="0" w:line="20" w:lineRule="exact"/>
              <w:rPr>
                <w:sz w:val="1"/>
                <w:szCs w:val="1"/>
                <w:color w:val="auto"/>
              </w:rPr>
            </w:pPr>
          </w:p>
        </w:tc>
        <w:tc>
          <w:tcPr>
            <w:tcW w:w="720" w:type="dxa"/>
            <w:vAlign w:val="bottom"/>
            <w:shd w:val="clear" w:color="auto" w:fill="EEF2F7"/>
          </w:tcPr>
          <w:p>
            <w:pPr>
              <w:spacing w:after="0" w:line="20" w:lineRule="exact"/>
              <w:rPr>
                <w:sz w:val="1"/>
                <w:szCs w:val="1"/>
                <w:color w:val="auto"/>
              </w:rPr>
            </w:pPr>
          </w:p>
        </w:tc>
        <w:tc>
          <w:tcPr>
            <w:tcW w:w="260" w:type="dxa"/>
            <w:vAlign w:val="bottom"/>
            <w:shd w:val="clear" w:color="auto" w:fill="EEF2F7"/>
          </w:tcPr>
          <w:p>
            <w:pPr>
              <w:spacing w:after="0" w:line="20" w:lineRule="exact"/>
              <w:rPr>
                <w:sz w:val="1"/>
                <w:szCs w:val="1"/>
                <w:color w:val="auto"/>
              </w:rPr>
            </w:pPr>
          </w:p>
        </w:tc>
      </w:tr>
      <w:tr>
        <w:trPr>
          <w:trHeight w:val="196"/>
        </w:trPr>
        <w:tc>
          <w:tcPr>
            <w:tcW w:w="4980" w:type="dxa"/>
            <w:vAlign w:val="bottom"/>
          </w:tcPr>
          <w:p>
            <w:pPr>
              <w:ind w:left="80"/>
              <w:spacing w:after="0" w:line="196" w:lineRule="exact"/>
              <w:rPr>
                <w:sz w:val="20"/>
                <w:szCs w:val="20"/>
                <w:color w:val="auto"/>
              </w:rPr>
            </w:pPr>
            <w:r>
              <w:rPr>
                <w:rFonts w:ascii="Arial" w:cs="Arial" w:eastAsia="Arial" w:hAnsi="Arial"/>
                <w:sz w:val="18"/>
                <w:szCs w:val="18"/>
                <w:color w:val="auto"/>
              </w:rPr>
              <w:t>Total other income, net</w:t>
            </w:r>
          </w:p>
        </w:tc>
        <w:tc>
          <w:tcPr>
            <w:tcW w:w="22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-710565</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-710565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-710565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-710565</wp:posOffset>
            </wp:positionV>
            <wp:extent cx="1543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-162560</wp:posOffset>
            </wp:positionV>
            <wp:extent cx="111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111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Total other income, net decreased $1.7 million, or 62%, in the three months ended March 31, 2026, compared to the three months ended March 31, 2025. The $1.4 million decrease in interest income was due primarily to lower average cash balances and lower interest rates year over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Provision for Income Taxes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6"/>
          </w:tcPr>
          <w:p>
            <w:pPr>
              <w:jc w:val="center"/>
              <w:ind w:right="468"/>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42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 in</w:t>
            </w:r>
          </w:p>
        </w:tc>
        <w:tc>
          <w:tcPr>
            <w:tcW w:w="132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358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60" w:type="dxa"/>
            <w:vAlign w:val="bottom"/>
            <w:gridSpan w:val="2"/>
            <w:shd w:val="clear" w:color="auto" w:fill="EEF2F7"/>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8,916</w:t>
            </w:r>
          </w:p>
        </w:tc>
        <w:tc>
          <w:tcPr>
            <w:tcW w:w="240" w:type="dxa"/>
            <w:vAlign w:val="bottom"/>
            <w:shd w:val="clear" w:color="auto" w:fill="EEF2F7"/>
          </w:tcPr>
          <w:p>
            <w:pPr>
              <w:spacing w:after="0"/>
              <w:rPr>
                <w:sz w:val="17"/>
                <w:szCs w:val="17"/>
                <w:color w:val="auto"/>
              </w:rPr>
            </w:pPr>
          </w:p>
        </w:tc>
        <w:tc>
          <w:tcPr>
            <w:tcW w:w="320" w:type="dxa"/>
            <w:vAlign w:val="bottom"/>
            <w:gridSpan w:val="2"/>
            <w:shd w:val="clear" w:color="auto" w:fill="EEF2F7"/>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11,376</w:t>
            </w:r>
          </w:p>
        </w:tc>
        <w:tc>
          <w:tcPr>
            <w:tcW w:w="240" w:type="dxa"/>
            <w:vAlign w:val="bottom"/>
            <w:shd w:val="clear" w:color="auto" w:fill="EEF2F7"/>
          </w:tcPr>
          <w:p>
            <w:pPr>
              <w:spacing w:after="0"/>
              <w:rPr>
                <w:sz w:val="17"/>
                <w:szCs w:val="17"/>
                <w:color w:val="auto"/>
              </w:rPr>
            </w:pPr>
          </w:p>
        </w:tc>
        <w:tc>
          <w:tcPr>
            <w:tcW w:w="220" w:type="dxa"/>
            <w:vAlign w:val="bottom"/>
            <w:gridSpan w:val="2"/>
            <w:shd w:val="clear" w:color="auto" w:fill="EEF2F7"/>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EF2F7"/>
          </w:tcPr>
          <w:p>
            <w:pPr>
              <w:jc w:val="right"/>
              <w:ind w:right="120"/>
              <w:spacing w:after="0" w:line="202" w:lineRule="exact"/>
              <w:rPr>
                <w:sz w:val="20"/>
                <w:szCs w:val="20"/>
                <w:color w:val="auto"/>
              </w:rPr>
            </w:pPr>
            <w:r>
              <w:rPr>
                <w:rFonts w:ascii="Arial" w:cs="Arial" w:eastAsia="Arial" w:hAnsi="Arial"/>
                <w:sz w:val="18"/>
                <w:szCs w:val="18"/>
                <w:color w:val="auto"/>
              </w:rPr>
              <w:t>(2,460)</w:t>
            </w:r>
          </w:p>
        </w:tc>
        <w:tc>
          <w:tcPr>
            <w:tcW w:w="320" w:type="dxa"/>
            <w:vAlign w:val="bottom"/>
            <w:shd w:val="clear" w:color="auto" w:fill="EEF2F7"/>
          </w:tcPr>
          <w:p>
            <w:pPr>
              <w:spacing w:after="0"/>
              <w:rPr>
                <w:sz w:val="17"/>
                <w:szCs w:val="17"/>
                <w:color w:val="auto"/>
              </w:rPr>
            </w:pPr>
          </w:p>
        </w:tc>
        <w:tc>
          <w:tcPr>
            <w:tcW w:w="96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560" w:type="dxa"/>
            <w:vAlign w:val="bottom"/>
          </w:tcPr>
          <w:p>
            <w:pPr>
              <w:spacing w:after="0"/>
              <w:rPr>
                <w:sz w:val="17"/>
                <w:szCs w:val="17"/>
                <w:color w:val="auto"/>
              </w:rPr>
            </w:pPr>
          </w:p>
        </w:tc>
      </w:tr>
      <w:tr>
        <w:trPr>
          <w:trHeight w:val="239"/>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1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Provision for income taxes changed $2.5 million in the three months ended March 31, 2026, compared to the three months ended March 31, 2025. The decrease was due primarily to decreased profitability resulting from the recording of the lease impairment expense.</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Liquidity and Capital Resources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Cash, Cash Equivalents, and Borrowing Capacity</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As of March 31, 2026 and December 31, 2025, our principal sources of liquidity were cash and cash equivalents of $ 72.0 million and $190.5 million, respectively. As of March 31, 2026 and December 31, 2025, our borrowing capacity under the 2022 Revolver (as defined below) was $390.6 million.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Sources and Uses of Cash</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cash flows related to discontinued operations for the three months ended March 31, 2025, have not been separated. Accordingly, the Unaudited Condensed Consolidated Statements of Cash Flows for the three months ended March 31, 2025, and the following discussions include the results of continuing and discontinued operations. For additional information on discontinued operations, including significant non-cash items and capital expenditures of discontinued operations, refer to Note 3 of the Unaudited Condensed Consolidated Financial Statements included elsewhere in this Quarterly Report.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During the three months ended March 31, 2026 and 2025, our cash flows from operating, investing, and financing activities, as reflected in the Unaudited Condensed Consolidated Statements of Cash Flows, were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9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gridSpan w:val="5"/>
          </w:tcPr>
          <w:p>
            <w:pPr>
              <w:jc w:val="center"/>
              <w:ind w:right="420"/>
              <w:spacing w:after="0" w:line="155" w:lineRule="exact"/>
              <w:rPr>
                <w:sz w:val="20"/>
                <w:szCs w:val="20"/>
                <w:color w:val="auto"/>
              </w:rPr>
            </w:pPr>
            <w:r>
              <w:rPr>
                <w:rFonts w:ascii="Arial" w:cs="Arial" w:eastAsia="Arial" w:hAnsi="Arial"/>
                <w:sz w:val="14"/>
                <w:szCs w:val="14"/>
                <w:b w:val="1"/>
                <w:bCs w:val="1"/>
                <w:color w:val="auto"/>
              </w:rPr>
              <w:t>(dollars in thousands)</w:t>
            </w:r>
          </w:p>
        </w:tc>
      </w:tr>
      <w:tr>
        <w:trPr>
          <w:trHeight w:val="202"/>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EEF2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69,849</w:t>
            </w:r>
          </w:p>
        </w:tc>
        <w:tc>
          <w:tcPr>
            <w:tcW w:w="260" w:type="dxa"/>
            <w:vAlign w:val="bottom"/>
            <w:shd w:val="clear" w:color="auto" w:fill="EEF2F7"/>
          </w:tcPr>
          <w:p>
            <w:pPr>
              <w:spacing w:after="0"/>
              <w:rPr>
                <w:sz w:val="17"/>
                <w:szCs w:val="17"/>
                <w:color w:val="auto"/>
              </w:rPr>
            </w:pPr>
          </w:p>
        </w:tc>
        <w:tc>
          <w:tcPr>
            <w:tcW w:w="380" w:type="dxa"/>
            <w:vAlign w:val="bottom"/>
            <w:shd w:val="clear" w:color="auto" w:fill="EEF2F7"/>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EF2F7"/>
          </w:tcPr>
          <w:p>
            <w:pPr>
              <w:jc w:val="right"/>
              <w:spacing w:after="0" w:line="202" w:lineRule="exact"/>
              <w:rPr>
                <w:sz w:val="20"/>
                <w:szCs w:val="20"/>
                <w:color w:val="auto"/>
              </w:rPr>
            </w:pPr>
            <w:r>
              <w:rPr>
                <w:rFonts w:ascii="Arial" w:cs="Arial" w:eastAsia="Arial" w:hAnsi="Arial"/>
                <w:sz w:val="18"/>
                <w:szCs w:val="18"/>
                <w:color w:val="auto"/>
              </w:rPr>
              <w:t>67,879</w:t>
            </w:r>
          </w:p>
        </w:tc>
        <w:tc>
          <w:tcPr>
            <w:tcW w:w="100" w:type="dxa"/>
            <w:vAlign w:val="bottom"/>
            <w:shd w:val="clear" w:color="auto" w:fill="EEF2F7"/>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(6,692)</w:t>
            </w:r>
          </w:p>
        </w:tc>
        <w:tc>
          <w:tcPr>
            <w:tcW w:w="3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(7,631)</w:t>
            </w:r>
          </w:p>
        </w:tc>
      </w:tr>
      <w:tr>
        <w:trPr>
          <w:trHeight w:val="203"/>
        </w:trPr>
        <w:tc>
          <w:tcPr>
            <w:tcW w:w="6900" w:type="dxa"/>
            <w:vAlign w:val="bottom"/>
            <w:shd w:val="clear" w:color="auto" w:fill="EEF2F7"/>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EEF2F7"/>
          </w:tcPr>
          <w:p>
            <w:pPr>
              <w:spacing w:after="0"/>
              <w:rPr>
                <w:sz w:val="17"/>
                <w:szCs w:val="17"/>
                <w:color w:val="auto"/>
              </w:rPr>
            </w:pPr>
          </w:p>
        </w:tc>
        <w:tc>
          <w:tcPr>
            <w:tcW w:w="1360" w:type="dxa"/>
            <w:vAlign w:val="bottom"/>
            <w:gridSpan w:val="2"/>
            <w:shd w:val="clear" w:color="auto" w:fill="EEF2F7"/>
          </w:tcPr>
          <w:p>
            <w:pPr>
              <w:jc w:val="right"/>
              <w:ind w:right="200"/>
              <w:spacing w:after="0" w:line="202" w:lineRule="exact"/>
              <w:rPr>
                <w:sz w:val="20"/>
                <w:szCs w:val="20"/>
                <w:color w:val="auto"/>
              </w:rPr>
            </w:pPr>
            <w:r>
              <w:rPr>
                <w:rFonts w:ascii="Arial" w:cs="Arial" w:eastAsia="Arial" w:hAnsi="Arial"/>
                <w:sz w:val="18"/>
                <w:szCs w:val="18"/>
                <w:color w:val="auto"/>
              </w:rPr>
              <w:t>(181,013)</w:t>
            </w:r>
          </w:p>
        </w:tc>
        <w:tc>
          <w:tcPr>
            <w:tcW w:w="380" w:type="dxa"/>
            <w:vAlign w:val="bottom"/>
            <w:shd w:val="clear" w:color="auto" w:fill="EEF2F7"/>
          </w:tcPr>
          <w:p>
            <w:pPr>
              <w:spacing w:after="0"/>
              <w:rPr>
                <w:sz w:val="17"/>
                <w:szCs w:val="17"/>
                <w:color w:val="auto"/>
              </w:rPr>
            </w:pPr>
          </w:p>
        </w:tc>
        <w:tc>
          <w:tcPr>
            <w:tcW w:w="1140" w:type="dxa"/>
            <w:vAlign w:val="bottom"/>
            <w:gridSpan w:val="2"/>
            <w:shd w:val="clear" w:color="auto" w:fill="EEF2F7"/>
          </w:tcPr>
          <w:p>
            <w:pPr>
              <w:jc w:val="right"/>
              <w:ind w:right="40"/>
              <w:spacing w:after="0" w:line="202" w:lineRule="exact"/>
              <w:rPr>
                <w:sz w:val="20"/>
                <w:szCs w:val="20"/>
                <w:color w:val="auto"/>
              </w:rPr>
            </w:pPr>
            <w:r>
              <w:rPr>
                <w:rFonts w:ascii="Arial" w:cs="Arial" w:eastAsia="Arial" w:hAnsi="Arial"/>
                <w:sz w:val="18"/>
                <w:szCs w:val="18"/>
                <w:color w:val="auto"/>
              </w:rPr>
              <w:t>(191,477)</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Impact of foreign currency on cash</w:t>
            </w:r>
          </w:p>
        </w:tc>
        <w:tc>
          <w:tcPr>
            <w:tcW w:w="320" w:type="dxa"/>
            <w:vAlign w:val="bottom"/>
          </w:tcPr>
          <w:p>
            <w:pPr>
              <w:spacing w:after="0"/>
              <w:rPr>
                <w:sz w:val="17"/>
                <w:szCs w:val="17"/>
                <w:color w:val="auto"/>
              </w:rPr>
            </w:pP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(613)</w:t>
            </w: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710</w:t>
            </w:r>
          </w:p>
        </w:tc>
        <w:tc>
          <w:tcPr>
            <w:tcW w:w="10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0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shd w:val="clear" w:color="auto" w:fill="EEF2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F2F7"/>
          </w:tcPr>
          <w:p>
            <w:pPr>
              <w:jc w:val="right"/>
              <w:ind w:right="200"/>
              <w:spacing w:after="0" w:line="196" w:lineRule="exact"/>
              <w:rPr>
                <w:sz w:val="20"/>
                <w:szCs w:val="20"/>
                <w:color w:val="auto"/>
              </w:rPr>
            </w:pPr>
            <w:r>
              <w:rPr>
                <w:rFonts w:ascii="Arial" w:cs="Arial" w:eastAsia="Arial" w:hAnsi="Arial"/>
                <w:sz w:val="18"/>
                <w:szCs w:val="18"/>
                <w:color w:val="auto"/>
              </w:rPr>
              <w:t>(118,469)</w:t>
            </w:r>
          </w:p>
        </w:tc>
        <w:tc>
          <w:tcPr>
            <w:tcW w:w="380" w:type="dxa"/>
            <w:vAlign w:val="bottom"/>
            <w:shd w:val="clear" w:color="auto" w:fill="EEF2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F2F7"/>
          </w:tcPr>
          <w:p>
            <w:pPr>
              <w:jc w:val="right"/>
              <w:ind w:right="40"/>
              <w:spacing w:after="0" w:line="196" w:lineRule="exact"/>
              <w:rPr>
                <w:sz w:val="20"/>
                <w:szCs w:val="20"/>
                <w:color w:val="auto"/>
              </w:rPr>
            </w:pPr>
            <w:r>
              <w:rPr>
                <w:rFonts w:ascii="Arial" w:cs="Arial" w:eastAsia="Arial" w:hAnsi="Arial"/>
                <w:sz w:val="18"/>
                <w:szCs w:val="18"/>
                <w:color w:val="auto"/>
              </w:rPr>
              <w:t>(130,519)</w:t>
            </w:r>
          </w:p>
        </w:tc>
      </w:tr>
      <w:tr>
        <w:trPr>
          <w:trHeight w:val="20"/>
        </w:trPr>
        <w:tc>
          <w:tcPr>
            <w:tcW w:w="6900" w:type="dxa"/>
            <w:vAlign w:val="bottom"/>
            <w:tcBorders>
              <w:top w:val="single" w:sz="8" w:color="EEF2F7"/>
            </w:tcBorders>
            <w:shd w:val="clear" w:color="auto" w:fill="EEF2F7"/>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EF2F7"/>
            </w:tcBorders>
            <w:shd w:val="clear" w:color="auto" w:fill="EEF2F7"/>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F2F7"/>
            </w:tcBorders>
            <w:shd w:val="clear" w:color="auto" w:fill="EEF2F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Our operations have been financed primarily from operating activities. During the three months ended March 31, 2026 and 2025, we generated cash from operating activities of $69.8 million and $67.9 million, respectively.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00002D"/>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or 2022 Revolver Sub-facility. The borrowing capacity under the Credit Agreement may be increased in accordance with the terms and subject to the adjustments as set forth in the Credit Agreement. Specifically, the borrowing capacity may be increased by an amount up to the greater of $ 250.0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March 31, 2026 and December 31, 2025, there were no borrowings and $9.4 million in letters of credit outstanding under the 2022 Revolver Sub-facility associated with our leases, which reduced the borrowing capacity under the 2022 Revolver to $390.6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We believe that our existing sources of liquidity, including access to the 2022 Revolver, will be sufficient to fund our operations for at least the next 12 months from the date of the filing of this Quarterly Report. Our future capital requirements will depend on many factors, including our revenue; expenses associated with our sales and marketing activities and the support of our product, technology, and development efforts; activity under the 2026 Share Repurchase Program (as defined below); and our investments in international markets. Cash from operations could also be affected by various risks and uncertainties, including but not limited to macroeconomic effects and other risks detailed more specifically in the “Risk Factors” section in Part I, Item 1A in our Annual Report.</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00002D"/>
        </w:rPr>
        <w:t>In February 2026 we announced that our Board of Directors authorized a program pursuant to which we may purchase up to $250.0 million of our Class A common stock, or the 2026 Share Repurchase Program.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2026 Share Repurchase Program does not obligate us to repurchase any minimum dollar amount or number of shares. The 2026 Share Repurchase Program has an expiration date of December 31, 2026, and prior to its expiration may be modified, suspended, or discontinued by our Board of Directors at any time without prior notice. All repurchased shares under the 2026 Share Repurchase Program will be retired. We have funded share repurchases and expect to continue to fund share repurchases under the 2026 Share Repurchase Program through cash on hand and cash generated from operations. During the three months ended March 31, 2026, we repurchased and retired 5,341,712 shares of our Class A common stock for $175.0 million, exclusive of commissions and excise tax, at an average cost of $ 32.76 per share, under the 2026 Share Repurchase Program. As of March 31, 2026, we had remaining authorization to purchase up to $75.0 million of our Class A common stock under the 2026 Share Repurchase Program.</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In November 2024 we announced that our Board of Directors authorized a share repurchase program, or the Original 2025 Share Repurchase Program, pursuant to which we could purchase up to $200.0 million of our Class A common stock. In August 2025 we announced that our Board of Directors amended the Original 2025 Share Repurchase Program to increase the authorization by an additional $150.0 million, for a total authorization to purchase up to $350.0 million of our Class A common stock, and extended the expiration of the Original 2025 Share Repurchase Program from December 31, 2025 to July 31, 2026, or as amended, the 2025 Share Repurchase Program. The 2025 Share Repurchase Program was completed in November 2025. All repurchased shares under the 2025 Share Repurchase Program were retired. During the three months ended March 31, 2025, we repurchased and retired 5,919,435 shares of our Class A common stock for $184.2 million, exclusive of commissions and excise tax, at an average cost of $31.12 per share under the 2025 Share Repurchase Program.</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the extent that our operating income, existing cash, cash equivalents, and our borrowing c</w:t>
      </w:r>
      <w:r>
        <w:rPr>
          <w:rFonts w:ascii="Arial" w:cs="Arial" w:eastAsia="Arial" w:hAnsi="Arial"/>
          <w:sz w:val="18"/>
          <w:szCs w:val="18"/>
          <w:color w:val="00002D"/>
        </w:rPr>
        <w:t>apacity under the 2022 Revolver are insufficient</w:t>
      </w:r>
      <w:r>
        <w:rPr>
          <w:rFonts w:ascii="Arial" w:cs="Arial" w:eastAsia="Arial" w:hAnsi="Arial"/>
          <w:sz w:val="18"/>
          <w:szCs w:val="18"/>
          <w:color w:val="auto"/>
        </w:rPr>
        <w:t xml:space="preserve"> </w:t>
      </w:r>
      <w:r>
        <w:rPr>
          <w:rFonts w:ascii="Arial" w:cs="Arial" w:eastAsia="Arial" w:hAnsi="Arial"/>
          <w:sz w:val="18"/>
          <w:szCs w:val="18"/>
          <w:color w:val="00002D"/>
        </w:rPr>
        <w:t>to fund our future activities, we may need to raise additional funds through a public or private equity or debt financing. Additional funds may not be available on terms favorable to us, or at all. See “</w:t>
      </w:r>
      <w:r>
        <w:rPr>
          <w:rFonts w:ascii="Arial" w:cs="Arial" w:eastAsia="Arial" w:hAnsi="Arial"/>
          <w:sz w:val="18"/>
          <w:szCs w:val="18"/>
          <w:i w:val="1"/>
          <w:iCs w:val="1"/>
          <w:color w:val="00002D"/>
        </w:rPr>
        <w:t>Risk Factors—Risks Related to Our Operations—We may require additional capital</w:t>
      </w:r>
      <w:r>
        <w:rPr>
          <w:rFonts w:ascii="Arial" w:cs="Arial" w:eastAsia="Arial" w:hAnsi="Arial"/>
          <w:sz w:val="18"/>
          <w:szCs w:val="18"/>
          <w:color w:val="00002D"/>
        </w:rPr>
        <w:t xml:space="preserve"> </w:t>
      </w:r>
      <w:r>
        <w:rPr>
          <w:rFonts w:ascii="Arial" w:cs="Arial" w:eastAsia="Arial" w:hAnsi="Arial"/>
          <w:sz w:val="18"/>
          <w:szCs w:val="18"/>
          <w:i w:val="1"/>
          <w:iCs w:val="1"/>
          <w:color w:val="00002D"/>
        </w:rPr>
        <w:t xml:space="preserve">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Arial" w:cs="Arial" w:eastAsia="Arial" w:hAnsi="Arial"/>
          <w:sz w:val="18"/>
          <w:szCs w:val="18"/>
          <w:color w:val="00002D"/>
        </w:rPr>
        <w:t>in Part I, Item 1A in our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Operating Activities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00002D"/>
        </w:rPr>
        <w:t>Net cash provided by operating activities of $69.8 million during the three months ended March 31, 2026, was due primarily to consolidated net income of $32.2 million, adjusted for $19.7 million of impairment primarily related to the 121 First Street lease, $13.3 million of stock-based compensation expense, $7.2 million of depreciation and amortization expense, and $ 4.7 million of amortization of deferred contract costs. Net cash provided by operating activities was also due to a $4.7 million decrease in prepaid expenses, prepaid income taxes, and other current assets, and was offset in part by a $7.1 million decrease in accrued expenses, accrued income taxes, and other current liabilities and a $4.4 million increase in deferred contract costs primarily due to commission capitalization.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00002D"/>
        </w:rPr>
        <w:t>Net cash provided by operating activities of $67.9 million during the three months ended March 31, 2025, was due primarily to consolidated net income of $39.0 million, adjusted for $12.9 million of stock-based compensation expense, $6.6 million of depreciation and amortization expense, and $3.8 million of amortization of deferred contract costs. Net cash provided by operating activities was also attributable in part to a $4.6 million increase in lease obligations primarily due to interest accretion, right-of-use asset amortization, and tenant improvement allowance reimbursement, offset in part by rent payments. Net cash provided by operating activities was also due in part to a $6.8 million decrease in prepaid expenses, prepaid income taxes, and other current assets and a $4.1 million increase in accounts payable due to increased marketing spend as a result of seasonality, as well as the timing of payments. Net cash provided by operating activities was offset in part by a $5.6 million decrease in accrued expenses, accrued income taxes, and other current liabilities due primarily to a decrease in accrued bonuses following the payout of the fiscal year 2024 bonuses during the quarter, and a $4.7 million increase in deferred contract costs primarily due to commission capitalization.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Investing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Net cash used in investing activities of $6.7 million during the three months ended March 31, 2026, was due primarily to $6.3 million in capitalized website development costs due to continued investment in our product offerings.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Net cash used in investing activities of $ 7.6 million during the three months ended March 31, 2025, was due to $ 5.4 million in capitalization of website development costs related to continued investments on our product offerings and $2.2 million in purchases of property and equipment related to internal-use software as well as our headquarters at 1001 Boylston Street.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2D"/>
        </w:rPr>
        <w:t>Financing Activities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Net cash used in financing activities of $181.0 million during the three months ended March 31, 2026, was due primarily to $174.4 million in repurchases of our Class A common stock under the 2026 Share Repurchase Program and $6.6 million in payments of withholding taxes on net share settlements of restricted stock units.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Net cash used in financing activities of $191.5 million during the three months ended March 31, 2025, was due primarily to $182.8 million in repurchases of our Class A common stock under the 2025 Share Repurchase Program and $9.0 million in payment of withholding taxes on net share settlements of restricted stock units.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Contractual Obligations and Known Future Cash Requirements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As of March 31, 2026, there were no material changes in our contractual obligations and commitments from those disclosed in our Annual Report, other than those appearing in the notes to the Unaudited Condensed Consolidated Financial Statements included elsewhere in this Quarterly Report, which are hereby incorporated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Seasonality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Across the retail automotive industry, consumer activity tends to be highest in the spring and summer months, aligning with tax refund season and increased discretionary spending, as well as the rollout of new vehicle models. This seasonality in vehicle purchasing behavior can influence dealer advertising budgets and inventory levels, which, in turn, could impact demand for our products and services.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Historically, our operating results have been more influenced by macroeconomic conditions that impact the volume of vehicle sales, such as slower growth or recession, higher interest rates, unemployment, inflation, consumer confidence in the economy, consumer debt levels, labor disruptions, work stoppages, or strikes, geop</w:t>
      </w:r>
      <w:r>
        <w:rPr>
          <w:rFonts w:ascii="Arial" w:cs="Arial" w:eastAsia="Arial" w:hAnsi="Arial"/>
          <w:sz w:val="18"/>
          <w:szCs w:val="18"/>
          <w:color w:val="000000"/>
        </w:rPr>
        <w:t>olitical conflicts, foreign currency exchange rate fluctuations, and other matters that influence</w:t>
      </w:r>
      <w:r>
        <w:rPr>
          <w:rFonts w:ascii="Arial" w:cs="Arial" w:eastAsia="Arial" w:hAnsi="Arial"/>
          <w:sz w:val="18"/>
          <w:szCs w:val="18"/>
          <w:color w:val="00002D"/>
        </w:rPr>
        <w:t xml:space="preserve"> </w:t>
      </w:r>
      <w:r>
        <w:rPr>
          <w:rFonts w:ascii="Arial" w:cs="Arial" w:eastAsia="Arial" w:hAnsi="Arial"/>
          <w:sz w:val="18"/>
          <w:szCs w:val="18"/>
          <w:color w:val="000000"/>
        </w:rPr>
        <w:t>consumer spending and preferences, than by consistent seasonal patterns</w:t>
      </w:r>
      <w:r>
        <w:rPr>
          <w:rFonts w:ascii="Arial" w:cs="Arial" w:eastAsia="Arial" w:hAnsi="Arial"/>
          <w:sz w:val="18"/>
          <w:szCs w:val="18"/>
          <w:color w:val="00002D"/>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 xml:space="preserve">To date, our </w:t>
      </w:r>
      <w:r>
        <w:rPr>
          <w:rFonts w:ascii="Arial" w:cs="Arial" w:eastAsia="Arial" w:hAnsi="Arial"/>
          <w:sz w:val="18"/>
          <w:szCs w:val="18"/>
          <w:color w:val="000000"/>
        </w:rPr>
        <w:t>operating results have not been materially impacted by the general seasonality of the automotive industry. However, as our</w:t>
      </w:r>
      <w:r>
        <w:rPr>
          <w:rFonts w:ascii="Arial" w:cs="Arial" w:eastAsia="Arial" w:hAnsi="Arial"/>
          <w:sz w:val="18"/>
          <w:szCs w:val="18"/>
          <w:color w:val="00002D"/>
        </w:rPr>
        <w:t xml:space="preserve"> </w:t>
      </w:r>
      <w:r>
        <w:rPr>
          <w:rFonts w:ascii="Arial" w:cs="Arial" w:eastAsia="Arial" w:hAnsi="Arial"/>
          <w:sz w:val="18"/>
          <w:szCs w:val="18"/>
          <w:color w:val="000000"/>
        </w:rPr>
        <w:t>platform and offerings continue to scale, including our growing suite of software and data products for consumers and dealers, we may become more susceptible to seasonal trends that affect vehicle transactions, consumer engagement, or dealer marketing behavior.</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Accordingly, revenue and cost of revenue related to volume will fluctuate on a quarterly basis. Typical seasonality trends may not be observed in periods where other external factors, such as changes in international trade policies, tariffs, higher interest rates, and other macroeconomic issues, more significantly impact the industry.</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Off-Balance Sheet Arrangements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As of March 31, 2026 and December 31, 2025,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Critical Accounting Estimates</w:t>
      </w:r>
    </w:p>
    <w:p>
      <w:pPr>
        <w:spacing w:after="0" w:line="23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00002D"/>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Critical estimates relied upon in preparing the Unaudited Condensed Consolidated Financial Statements include the determination of variable consideration in our revenue recognition and the capitalization and useful lives of product, technology, and development costs for website development, internal-use software, and hosting arrangements. Accordingly, we consider these to be our critical accounting estimates and believe that of our significant accounting policies, these involve the greatest degree of judgment and complexity.</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For a detailed explanation of the judgments made in these areas, refer to Note 2 of the Unaudited Condensed Consolidated Financial Statements included elsewhere in this Quarterly Report and “Management’s Discussion and Analysis of Financial Condition and Results of Operations” in our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Recently Issued Accounting Pronouncements</w:t>
      </w:r>
    </w:p>
    <w:p>
      <w:pPr>
        <w:spacing w:after="0" w:line="23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Information concerning recently issued accounting pronouncements can be found in Note 2 of the Unaudited Condensed Consolidated Financial Statements included elsewhere in this Quarterly Report.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spacing w:after="0" w:line="290" w:lineRule="auto"/>
        <w:rPr>
          <w:sz w:val="20"/>
          <w:szCs w:val="20"/>
          <w:color w:val="auto"/>
        </w:rPr>
      </w:pPr>
      <w:r>
        <w:rPr>
          <w:rFonts w:ascii="Arial" w:cs="Arial" w:eastAsia="Arial" w:hAnsi="Arial"/>
          <w:sz w:val="36"/>
          <w:szCs w:val="36"/>
          <w:b w:val="1"/>
          <w:bCs w:val="1"/>
          <w:color w:val="3465B0"/>
        </w:rPr>
        <w:t>Item 3. Quantitative and Qualitative Disclosures about Market Risk.</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Market risk represents the risk of loss that may affect our financial position due to adverse changes in financial market prices and rates. We are exposed to market risks as described below.</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Interest Rate Risk</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8"/>
          <w:szCs w:val="18"/>
          <w:color w:val="00002D"/>
        </w:rPr>
        <w:t>As of March 31, 2026, our exposure to market risk associated with changes in interest rates related primarily to the 2022 Revolver, which allows us to borrow up to $400.0 million. The applicable interest rate is, at our option, based on a number of different benchmark rates and applicable spreads, as determined by the Consolidated Secured Net Leverage Ratio (as defined in Note 8 of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March 31, 2026 and December 31, 2025, there were no borrowings and $9.4 million in letters of credit outstanding under the 2022 Revolver Sub-facility associated with our leases, which reduced the borrowing capacity under the 2022 Revolver to $390.6 million.</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As of March 31, 2026 and December 31, 2025, we had cash and cash equivalents of $72.0 million and $190.5 million, respectively, which consisted of cash on deposit with banks and money market funds.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00002D"/>
        </w:rPr>
        <w:t>Such interest-earning instruments carry a degree of interest rate risk. For the three months ended March 31, 2026 and 2025, fluctuations resulting from changes in the interest rate environment in interest income have not been material to our business, financial condition, or results of operations. Given recent changes in the interest rate environment and in an effort to ensure liquidity, we expect variable returns from our cash equivalents for the foreseeable future.</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002D"/>
        </w:rPr>
        <w:t>We do not enter into investments for trading or speculative purposes and have not used any derivative financial instruments to manage our interest rate risk exposure. As circumstances change, we will continue to reassess our approach to managing these risks.</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Inflation Risk</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As of and for the three months ended March 31, 2026 and 2025, we did not believe that inflation had a material effect on our business, financial condition, or results of operations.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Foreign Currency Exchange Risk</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As of and for the three months ended March 31, 2026 and 2025, we had foreign currency exposures in the British pound, the Euro, and the Canadian dollar, but fluctuations resulting from exchange rates between these foreign currencies and the U.S. dollar have not been material to our business, financial condition, or results of operations. However, fluctuations in exchange rates in the future may have a material impact on our business, financial condition, or results of operations. We have not used any financial instruments to manage our foreign currency exchange risk exposure. As circumstances change, we will continue to reassess our approach to managing these risks.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6"/>
          <w:szCs w:val="36"/>
          <w:b w:val="1"/>
          <w:bCs w:val="1"/>
          <w:color w:val="3465B0"/>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Evaluation of Disclosure Controls and Procedures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002D"/>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Based on such evaluation, our principal executive officer and principal financial officer has concluded that as of such date, our disclosure controls and procedures were effective at the reasonable assurance level.</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Changes in Internal Control over Financial Reporting</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840" w:firstLine="2847"/>
        <w:spacing w:after="0" w:line="373" w:lineRule="auto"/>
        <w:rPr>
          <w:sz w:val="20"/>
          <w:szCs w:val="20"/>
          <w:color w:val="auto"/>
        </w:rPr>
      </w:pPr>
      <w:r>
        <w:rPr>
          <w:rFonts w:ascii="Arial" w:cs="Arial" w:eastAsia="Arial" w:hAnsi="Arial"/>
          <w:sz w:val="36"/>
          <w:szCs w:val="36"/>
          <w:b w:val="1"/>
          <w:bCs w:val="1"/>
          <w:color w:val="3465B0"/>
        </w:rPr>
        <w:t>PART II—OTHER INFORMATION Item 1. Legal Proceedings.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36"/>
          <w:szCs w:val="36"/>
          <w:b w:val="1"/>
          <w:bCs w:val="1"/>
          <w:color w:val="3465B0"/>
        </w:rPr>
        <w:t>Item 1A. Risk Factors.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002D"/>
        </w:rPr>
        <w:t>Careful consideration should be given to the factors discussed in Part I, Item 1A, “Risk Factors,” in our Annual Report, which could materially affect our business, financial condition, or future results, in addition to the information set forth in this Quarterly Report.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340"/>
        <w:spacing w:after="0" w:line="290" w:lineRule="auto"/>
        <w:rPr>
          <w:sz w:val="20"/>
          <w:szCs w:val="20"/>
          <w:color w:val="auto"/>
        </w:rPr>
      </w:pPr>
      <w:r>
        <w:rPr>
          <w:rFonts w:ascii="Arial" w:cs="Arial" w:eastAsia="Arial" w:hAnsi="Arial"/>
          <w:sz w:val="36"/>
          <w:szCs w:val="36"/>
          <w:b w:val="1"/>
          <w:bCs w:val="1"/>
          <w:color w:val="3465B0"/>
        </w:rPr>
        <w:t>Item 2. Unregistered Sales of Equity Securities and Use of Proceeds.</w:t>
      </w:r>
    </w:p>
    <w:p>
      <w:pPr>
        <w:spacing w:after="0" w:line="56"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Recent Sales of Unregistered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00002D"/>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Purchases of Equity Securities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00002D"/>
        </w:rPr>
        <w:t>The following table summarizes information about our purchases of our Class A common stock for each of the months during the three months ended March 31, 2026:</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(or</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w:t>
            </w:r>
          </w:p>
        </w:tc>
        <w:tc>
          <w:tcPr>
            <w:tcW w:w="22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of Shares of</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of</w:t>
            </w: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Stock that May</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Yet be</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Part of</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w:t>
            </w:r>
          </w:p>
        </w:tc>
        <w:tc>
          <w:tcPr>
            <w:tcW w:w="220" w:type="dxa"/>
            <w:vAlign w:val="bottom"/>
          </w:tcPr>
          <w:p>
            <w:pPr>
              <w:spacing w:after="0"/>
              <w:rPr>
                <w:sz w:val="4"/>
                <w:szCs w:val="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Plans or</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of</w:t>
            </w:r>
          </w:p>
        </w:tc>
        <w:tc>
          <w:tcPr>
            <w:tcW w:w="12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Paid per Share</w:t>
            </w: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1840" w:type="dxa"/>
            <w:vAlign w:val="bottom"/>
            <w:gridSpan w:val="2"/>
            <w:vMerge w:val="restart"/>
          </w:tcPr>
          <w:p>
            <w:pPr>
              <w:jc w:val="center"/>
              <w:ind w:left="65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4"/>
                <w:szCs w:val="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of Common</w:t>
            </w:r>
          </w:p>
        </w:tc>
        <w:tc>
          <w:tcPr>
            <w:tcW w:w="18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Plans or</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4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Purchased</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78"/>
              <w:spacing w:after="0" w:line="135" w:lineRule="exact"/>
              <w:rPr>
                <w:sz w:val="20"/>
                <w:szCs w:val="20"/>
                <w:color w:val="auto"/>
              </w:rPr>
            </w:pPr>
            <w:r>
              <w:rPr>
                <w:rFonts w:ascii="Arial" w:cs="Arial" w:eastAsia="Arial" w:hAnsi="Arial"/>
                <w:sz w:val="12"/>
                <w:szCs w:val="12"/>
                <w:b w:val="1"/>
                <w:bCs w:val="1"/>
                <w:color w:val="auto"/>
              </w:rPr>
              <w:t>Stock</w:t>
            </w:r>
            <w:r>
              <w:rPr>
                <w:rFonts w:ascii="Arial" w:cs="Arial" w:eastAsia="Arial" w:hAnsi="Arial"/>
                <w:sz w:val="15"/>
                <w:szCs w:val="15"/>
                <w:b w:val="1"/>
                <w:bCs w:val="1"/>
                <w:color w:val="auto"/>
                <w:vertAlign w:val="superscript"/>
              </w:rPr>
              <w:t>(1)</w:t>
            </w:r>
          </w:p>
        </w:tc>
        <w:tc>
          <w:tcPr>
            <w:tcW w:w="180" w:type="dxa"/>
            <w:vAlign w:val="bottom"/>
          </w:tcPr>
          <w:p>
            <w:pPr>
              <w:spacing w:after="0"/>
              <w:rPr>
                <w:sz w:val="11"/>
                <w:szCs w:val="11"/>
                <w:color w:val="auto"/>
              </w:rPr>
            </w:pPr>
          </w:p>
        </w:tc>
        <w:tc>
          <w:tcPr>
            <w:tcW w:w="10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rPr>
              <w:t>Programs</w:t>
            </w:r>
            <w:r>
              <w:rPr>
                <w:rFonts w:ascii="Arial" w:cs="Arial" w:eastAsia="Arial" w:hAnsi="Arial"/>
                <w:sz w:val="15"/>
                <w:szCs w:val="15"/>
                <w:b w:val="1"/>
                <w:bCs w:val="1"/>
                <w:color w:val="auto"/>
                <w:vertAlign w:val="superscript"/>
              </w:rPr>
              <w:t>(2)(3)</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97"/>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EEF2F7"/>
          </w:tcPr>
          <w:p>
            <w:pPr>
              <w:ind w:left="100"/>
              <w:spacing w:after="0" w:line="196" w:lineRule="exact"/>
              <w:rPr>
                <w:sz w:val="20"/>
                <w:szCs w:val="20"/>
                <w:color w:val="auto"/>
              </w:rPr>
            </w:pPr>
            <w:r>
              <w:rPr>
                <w:rFonts w:ascii="Arial" w:cs="Arial" w:eastAsia="Arial" w:hAnsi="Arial"/>
                <w:sz w:val="18"/>
                <w:szCs w:val="18"/>
                <w:color w:val="auto"/>
              </w:rPr>
              <w:t>January 1, 2026 through January 31, 2026</w:t>
            </w:r>
          </w:p>
        </w:tc>
        <w:tc>
          <w:tcPr>
            <w:tcW w:w="760" w:type="dxa"/>
            <w:vAlign w:val="bottom"/>
            <w:shd w:val="clear" w:color="auto" w:fill="EEF2F7"/>
          </w:tcPr>
          <w:p>
            <w:pPr>
              <w:spacing w:after="0"/>
              <w:rPr>
                <w:sz w:val="17"/>
                <w:szCs w:val="17"/>
                <w:color w:val="auto"/>
              </w:rPr>
            </w:pPr>
          </w:p>
        </w:tc>
        <w:tc>
          <w:tcPr>
            <w:tcW w:w="108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EEF2F7"/>
          </w:tcPr>
          <w:p>
            <w:pPr>
              <w:ind w:lef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EEF2F7"/>
          </w:tcPr>
          <w:p>
            <w:pPr>
              <w:spacing w:after="0"/>
              <w:rPr>
                <w:sz w:val="17"/>
                <w:szCs w:val="17"/>
                <w:color w:val="auto"/>
              </w:rPr>
            </w:pPr>
          </w:p>
        </w:tc>
        <w:tc>
          <w:tcPr>
            <w:tcW w:w="1060" w:type="dxa"/>
            <w:vAlign w:val="bottom"/>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EEF2F7"/>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EF2F7"/>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February 1, 2026 through February 28, 2026</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1,394,628</w:t>
            </w:r>
          </w:p>
        </w:tc>
        <w:tc>
          <w:tcPr>
            <w:tcW w:w="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30.02</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1,394,628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208,133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EEF2F7"/>
            </w:tcBorders>
            <w:shd w:val="clear" w:color="auto" w:fill="EEF2F7"/>
          </w:tcPr>
          <w:p>
            <w:pPr>
              <w:ind w:left="100"/>
              <w:spacing w:after="0" w:line="202" w:lineRule="exact"/>
              <w:rPr>
                <w:sz w:val="20"/>
                <w:szCs w:val="20"/>
                <w:color w:val="auto"/>
              </w:rPr>
            </w:pPr>
            <w:r>
              <w:rPr>
                <w:rFonts w:ascii="Arial" w:cs="Arial" w:eastAsia="Arial" w:hAnsi="Arial"/>
                <w:sz w:val="18"/>
                <w:szCs w:val="18"/>
                <w:color w:val="auto"/>
              </w:rPr>
              <w:t>March 1, 2026 through March 31, 2026</w:t>
            </w:r>
          </w:p>
        </w:tc>
        <w:tc>
          <w:tcPr>
            <w:tcW w:w="760" w:type="dxa"/>
            <w:vAlign w:val="bottom"/>
            <w:tcBorders>
              <w:bottom w:val="single" w:sz="8" w:color="EEF2F7"/>
            </w:tcBorders>
            <w:shd w:val="clear" w:color="auto" w:fill="EEF2F7"/>
          </w:tcPr>
          <w:p>
            <w:pPr>
              <w:spacing w:after="0"/>
              <w:rPr>
                <w:sz w:val="17"/>
                <w:szCs w:val="17"/>
                <w:color w:val="auto"/>
              </w:rPr>
            </w:pPr>
          </w:p>
        </w:tc>
        <w:tc>
          <w:tcPr>
            <w:tcW w:w="108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3,947,084</w:t>
            </w:r>
          </w:p>
        </w:tc>
        <w:tc>
          <w:tcPr>
            <w:tcW w:w="360" w:type="dxa"/>
            <w:vAlign w:val="bottom"/>
            <w:tcBorders>
              <w:bottom w:val="single" w:sz="8" w:color="EEF2F7"/>
            </w:tcBorders>
            <w:gridSpan w:val="2"/>
            <w:shd w:val="clear" w:color="auto" w:fill="EEF2F7"/>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EEF2F7"/>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33.73</w:t>
            </w:r>
          </w:p>
        </w:tc>
        <w:tc>
          <w:tcPr>
            <w:tcW w:w="180" w:type="dxa"/>
            <w:vAlign w:val="bottom"/>
            <w:tcBorders>
              <w:bottom w:val="single" w:sz="8" w:color="EEF2F7"/>
            </w:tcBorders>
            <w:shd w:val="clear" w:color="auto" w:fill="EEF2F7"/>
          </w:tcPr>
          <w:p>
            <w:pPr>
              <w:spacing w:after="0"/>
              <w:rPr>
                <w:sz w:val="17"/>
                <w:szCs w:val="17"/>
                <w:color w:val="auto"/>
              </w:rPr>
            </w:pPr>
          </w:p>
        </w:tc>
        <w:tc>
          <w:tcPr>
            <w:tcW w:w="1060" w:type="dxa"/>
            <w:vAlign w:val="bottom"/>
            <w:tcBorders>
              <w:bottom w:val="single" w:sz="8" w:color="auto"/>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3,947,084</w:t>
            </w:r>
          </w:p>
        </w:tc>
        <w:tc>
          <w:tcPr>
            <w:tcW w:w="320" w:type="dxa"/>
            <w:vAlign w:val="bottom"/>
            <w:tcBorders>
              <w:bottom w:val="single" w:sz="8" w:color="EEF2F7"/>
            </w:tcBorders>
            <w:gridSpan w:val="2"/>
            <w:shd w:val="clear" w:color="auto" w:fill="EEF2F7"/>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EEF2F7"/>
            </w:tcBorders>
            <w:shd w:val="clear" w:color="auto" w:fill="EEF2F7"/>
          </w:tcPr>
          <w:p>
            <w:pPr>
              <w:jc w:val="right"/>
              <w:spacing w:after="0" w:line="202" w:lineRule="exact"/>
              <w:rPr>
                <w:sz w:val="20"/>
                <w:szCs w:val="20"/>
                <w:color w:val="auto"/>
              </w:rPr>
            </w:pPr>
            <w:r>
              <w:rPr>
                <w:rFonts w:ascii="Arial" w:cs="Arial" w:eastAsia="Arial" w:hAnsi="Arial"/>
                <w:sz w:val="18"/>
                <w:szCs w:val="18"/>
                <w:color w:val="auto"/>
              </w:rPr>
              <w:t>74,998</w:t>
            </w:r>
          </w:p>
        </w:tc>
        <w:tc>
          <w:tcPr>
            <w:tcW w:w="100" w:type="dxa"/>
            <w:vAlign w:val="bottom"/>
            <w:tcBorders>
              <w:bottom w:val="single" w:sz="8" w:color="EEF2F7"/>
            </w:tcBorders>
            <w:shd w:val="clear" w:color="auto" w:fill="EEF2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140"/>
              <w:spacing w:after="0" w:line="182" w:lineRule="exact"/>
              <w:rPr>
                <w:sz w:val="20"/>
                <w:szCs w:val="20"/>
                <w:color w:val="auto"/>
              </w:rPr>
            </w:pPr>
            <w:r>
              <w:rPr>
                <w:rFonts w:ascii="Arial" w:cs="Arial" w:eastAsia="Arial" w:hAnsi="Arial"/>
                <w:sz w:val="18"/>
                <w:szCs w:val="18"/>
                <w:color w:val="auto"/>
              </w:rPr>
              <w:t>Total</w:t>
            </w:r>
          </w:p>
        </w:tc>
        <w:tc>
          <w:tcPr>
            <w:tcW w:w="18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5,341,712</w:t>
            </w:r>
          </w:p>
        </w:tc>
        <w:tc>
          <w:tcPr>
            <w:tcW w:w="36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32.76</w:t>
            </w:r>
          </w:p>
        </w:tc>
        <w:tc>
          <w:tcPr>
            <w:tcW w:w="1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5,341,712</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74,998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-162560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-162560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3" w:lineRule="exact"/>
        <w:rPr>
          <w:sz w:val="20"/>
          <w:szCs w:val="20"/>
          <w:color w:val="auto"/>
        </w:rPr>
      </w:pPr>
    </w:p>
    <w:p>
      <w:pPr>
        <w:ind w:left="1000" w:hanging="483"/>
        <w:spacing w:after="0"/>
        <w:tabs>
          <w:tab w:leader="none" w:pos="1000" w:val="left"/>
        </w:tabs>
        <w:numPr>
          <w:ilvl w:val="0"/>
          <w:numId w:val="13"/>
        </w:numPr>
        <w:rPr>
          <w:rFonts w:ascii="Times New Roman" w:cs="Times New Roman" w:eastAsia="Times New Roman" w:hAnsi="Times New Roman"/>
          <w:sz w:val="14"/>
          <w:szCs w:val="14"/>
          <w:color w:val="00002D"/>
        </w:rPr>
      </w:pPr>
      <w:r>
        <w:rPr>
          <w:rFonts w:ascii="Arial" w:cs="Arial" w:eastAsia="Arial" w:hAnsi="Arial"/>
          <w:sz w:val="14"/>
          <w:szCs w:val="14"/>
          <w:color w:val="00002D"/>
        </w:rPr>
        <w:t>The weighted average price paid per share of our Class A common stock does not include cost of commissions.</w:t>
      </w:r>
    </w:p>
    <w:p>
      <w:pPr>
        <w:spacing w:after="0" w:line="108" w:lineRule="exact"/>
        <w:rPr>
          <w:rFonts w:ascii="Times New Roman" w:cs="Times New Roman" w:eastAsia="Times New Roman" w:hAnsi="Times New Roman"/>
          <w:sz w:val="14"/>
          <w:szCs w:val="14"/>
          <w:color w:val="00002D"/>
        </w:rPr>
      </w:pPr>
    </w:p>
    <w:p>
      <w:pPr>
        <w:jc w:val="both"/>
        <w:ind w:left="1000" w:right="520" w:hanging="483"/>
        <w:spacing w:after="0" w:line="247" w:lineRule="auto"/>
        <w:tabs>
          <w:tab w:leader="none" w:pos="1000" w:val="left"/>
        </w:tabs>
        <w:numPr>
          <w:ilvl w:val="0"/>
          <w:numId w:val="13"/>
        </w:numPr>
        <w:rPr>
          <w:rFonts w:ascii="Times New Roman" w:cs="Times New Roman" w:eastAsia="Times New Roman" w:hAnsi="Times New Roman"/>
          <w:sz w:val="14"/>
          <w:szCs w:val="14"/>
          <w:color w:val="00002D"/>
        </w:rPr>
      </w:pPr>
      <w:r>
        <w:rPr>
          <w:rFonts w:ascii="Arial" w:cs="Arial" w:eastAsia="Arial" w:hAnsi="Arial"/>
          <w:sz w:val="14"/>
          <w:szCs w:val="14"/>
          <w:color w:val="00002D"/>
        </w:rPr>
        <w:t>In February 2026 we announced that our Board of Directors authorized the 2026 Share Repurchase Program pursuant to which we may purchase up to $250.0 million of our Class A common stock.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2026 Share Repurchase Program does not obligate us to repurchase any minimum dollar amount or number of shares. The 2026 Share Repurchase Program has an expiration date of December 31, 2026, and prior to its expiration may be modified, suspended, or discontinued by our Board of Directors at any time without prior notice. All repurchased shares under the 2026 Share Repurchase Program will be retired. We have funded share repurchases and expect to continue to fund share repurchases under the 2026 Share Repurchase Program through cash on hand and cash generated from operations.</w:t>
      </w:r>
    </w:p>
    <w:p>
      <w:pPr>
        <w:spacing w:after="0" w:line="77" w:lineRule="exact"/>
        <w:rPr>
          <w:rFonts w:ascii="Times New Roman" w:cs="Times New Roman" w:eastAsia="Times New Roman" w:hAnsi="Times New Roman"/>
          <w:sz w:val="14"/>
          <w:szCs w:val="14"/>
          <w:color w:val="00002D"/>
        </w:rPr>
      </w:pPr>
    </w:p>
    <w:p>
      <w:pPr>
        <w:ind w:left="1000" w:right="520" w:hanging="483"/>
        <w:spacing w:after="0" w:line="284" w:lineRule="auto"/>
        <w:tabs>
          <w:tab w:leader="none" w:pos="1000" w:val="left"/>
        </w:tabs>
        <w:numPr>
          <w:ilvl w:val="0"/>
          <w:numId w:val="13"/>
        </w:numPr>
        <w:rPr>
          <w:rFonts w:ascii="Times New Roman" w:cs="Times New Roman" w:eastAsia="Times New Roman" w:hAnsi="Times New Roman"/>
          <w:sz w:val="14"/>
          <w:szCs w:val="14"/>
          <w:color w:val="00002D"/>
        </w:rPr>
      </w:pPr>
      <w:r>
        <w:rPr>
          <w:rFonts w:ascii="Arial" w:cs="Arial" w:eastAsia="Arial" w:hAnsi="Arial"/>
          <w:sz w:val="14"/>
          <w:szCs w:val="14"/>
          <w:color w:val="00002D"/>
        </w:rPr>
        <w:t>The total number of shares of our Class A common stock purchased as part of the 2026 Share Repurchase Program was inclusive of any shares purchased but not settled as of March 31, 2026.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6"/>
          <w:szCs w:val="36"/>
          <w:b w:val="1"/>
          <w:bCs w:val="1"/>
          <w:color w:val="3465B0"/>
        </w:rPr>
        <w:t>Item 5.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002D"/>
        </w:rPr>
        <w:t>Rule 10b5-1 Plan Trading Arrangements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002D"/>
        </w:rPr>
        <w:t>During the three months ended March 31, 2026, the following officer adopted a “Rule 10b5-1 trading arrangement” (as defined in Item 408 of Regulation S-K) that is intended to satisfy the affirmative defense conditions of Rule 10b5-1(c) under the Exchange Act and our policies on insider trading: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Aggregate Number of Shares</w:t>
            </w: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Class A Common Stock to</w:t>
            </w: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be Purchased or Sold</w:t>
            </w:r>
          </w:p>
        </w:tc>
        <w:tc>
          <w:tcPr>
            <w:tcW w:w="240" w:type="dxa"/>
            <w:vAlign w:val="bottom"/>
          </w:tcPr>
          <w:p>
            <w:pPr>
              <w:spacing w:after="0"/>
              <w:rPr>
                <w:sz w:val="17"/>
                <w:szCs w:val="17"/>
                <w:color w:val="auto"/>
              </w:rPr>
            </w:pPr>
          </w:p>
        </w:tc>
        <w:tc>
          <w:tcPr>
            <w:tcW w:w="20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203"/>
        </w:trPr>
        <w:tc>
          <w:tcPr>
            <w:tcW w:w="3240" w:type="dxa"/>
            <w:vAlign w:val="bottom"/>
          </w:tcPr>
          <w:p>
            <w:pPr>
              <w:ind w:left="1080"/>
              <w:spacing w:after="0" w:line="202" w:lineRule="exact"/>
              <w:rPr>
                <w:sz w:val="20"/>
                <w:szCs w:val="20"/>
                <w:color w:val="auto"/>
              </w:rPr>
            </w:pPr>
            <w:r>
              <w:rPr>
                <w:rFonts w:ascii="Arial" w:cs="Arial" w:eastAsia="Arial" w:hAnsi="Arial"/>
                <w:sz w:val="18"/>
                <w:szCs w:val="18"/>
                <w:b w:val="1"/>
                <w:bCs w:val="1"/>
                <w:color w:val="auto"/>
              </w:rPr>
              <w:t>Name &amp; Title</w:t>
            </w:r>
          </w:p>
        </w:tc>
        <w:tc>
          <w:tcPr>
            <w:tcW w:w="220" w:type="dxa"/>
            <w:vAlign w:val="bottom"/>
          </w:tcPr>
          <w:p>
            <w:pPr>
              <w:spacing w:after="0"/>
              <w:rPr>
                <w:sz w:val="17"/>
                <w:szCs w:val="17"/>
                <w:color w:val="auto"/>
              </w:rPr>
            </w:pPr>
          </w:p>
        </w:tc>
        <w:tc>
          <w:tcPr>
            <w:tcW w:w="1900" w:type="dxa"/>
            <w:vAlign w:val="bottom"/>
          </w:tcPr>
          <w:p>
            <w:pPr>
              <w:ind w:left="360"/>
              <w:spacing w:after="0" w:line="202" w:lineRule="exact"/>
              <w:rPr>
                <w:sz w:val="20"/>
                <w:szCs w:val="20"/>
                <w:color w:val="auto"/>
              </w:rPr>
            </w:pPr>
            <w:r>
              <w:rPr>
                <w:rFonts w:ascii="Arial" w:cs="Arial" w:eastAsia="Arial" w:hAnsi="Arial"/>
                <w:sz w:val="18"/>
                <w:szCs w:val="18"/>
                <w:b w:val="1"/>
                <w:bCs w:val="1"/>
                <w:color w:val="auto"/>
              </w:rPr>
              <w:t>Date Adopted</w:t>
            </w:r>
          </w:p>
        </w:tc>
        <w:tc>
          <w:tcPr>
            <w:tcW w:w="220" w:type="dxa"/>
            <w:vAlign w:val="bottom"/>
          </w:tcPr>
          <w:p>
            <w:pPr>
              <w:spacing w:after="0"/>
              <w:rPr>
                <w:sz w:val="17"/>
                <w:szCs w:val="17"/>
                <w:color w:val="auto"/>
              </w:rPr>
            </w:pPr>
          </w:p>
        </w:tc>
        <w:tc>
          <w:tcPr>
            <w:tcW w:w="2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Pursuant to Trading</w:t>
            </w:r>
          </w:p>
        </w:tc>
        <w:tc>
          <w:tcPr>
            <w:tcW w:w="24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Arrangement</w:t>
            </w:r>
          </w:p>
        </w:tc>
        <w:tc>
          <w:tcPr>
            <w:tcW w:w="240" w:type="dxa"/>
            <w:vAlign w:val="bottom"/>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40" w:type="dxa"/>
            <w:vAlign w:val="bottom"/>
          </w:tcPr>
          <w:p>
            <w:pPr>
              <w:ind w:left="120"/>
              <w:spacing w:after="0" w:line="156" w:lineRule="exact"/>
              <w:rPr>
                <w:sz w:val="20"/>
                <w:szCs w:val="20"/>
                <w:color w:val="auto"/>
              </w:rPr>
            </w:pPr>
            <w:r>
              <w:rPr>
                <w:rFonts w:ascii="Arial" w:cs="Arial" w:eastAsia="Arial" w:hAnsi="Arial"/>
                <w:sz w:val="18"/>
                <w:szCs w:val="18"/>
                <w:color w:val="auto"/>
              </w:rPr>
              <w:t>Javier Zamora,</w:t>
            </w:r>
          </w:p>
        </w:tc>
        <w:tc>
          <w:tcPr>
            <w:tcW w:w="220" w:type="dxa"/>
            <w:vAlign w:val="bottom"/>
          </w:tcPr>
          <w:p>
            <w:pPr>
              <w:spacing w:after="0"/>
              <w:rPr>
                <w:sz w:val="13"/>
                <w:szCs w:val="13"/>
                <w:color w:val="auto"/>
              </w:rPr>
            </w:pPr>
          </w:p>
        </w:tc>
        <w:tc>
          <w:tcPr>
            <w:tcW w:w="1900" w:type="dxa"/>
            <w:vAlign w:val="bottom"/>
          </w:tcPr>
          <w:p>
            <w:pPr>
              <w:ind w:left="380"/>
              <w:spacing w:after="0" w:line="156" w:lineRule="exact"/>
              <w:rPr>
                <w:sz w:val="20"/>
                <w:szCs w:val="20"/>
                <w:color w:val="auto"/>
              </w:rPr>
            </w:pPr>
            <w:r>
              <w:rPr>
                <w:rFonts w:ascii="Arial" w:cs="Arial" w:eastAsia="Arial" w:hAnsi="Arial"/>
                <w:sz w:val="18"/>
                <w:szCs w:val="18"/>
                <w:color w:val="auto"/>
              </w:rPr>
              <w:t>March 2, 2026</w:t>
            </w:r>
          </w:p>
        </w:tc>
        <w:tc>
          <w:tcPr>
            <w:tcW w:w="220" w:type="dxa"/>
            <w:vAlign w:val="bottom"/>
          </w:tcPr>
          <w:p>
            <w:pPr>
              <w:spacing w:after="0"/>
              <w:rPr>
                <w:sz w:val="13"/>
                <w:szCs w:val="13"/>
                <w:color w:val="auto"/>
              </w:rPr>
            </w:pPr>
          </w:p>
        </w:tc>
        <w:tc>
          <w:tcPr>
            <w:tcW w:w="2780" w:type="dxa"/>
            <w:vAlign w:val="bottom"/>
          </w:tcPr>
          <w:p>
            <w:pPr>
              <w:jc w:val="center"/>
              <w:spacing w:after="0" w:line="156" w:lineRule="exact"/>
              <w:rPr>
                <w:sz w:val="20"/>
                <w:szCs w:val="20"/>
                <w:color w:val="auto"/>
              </w:rPr>
            </w:pPr>
            <w:r>
              <w:rPr>
                <w:rFonts w:ascii="Arial" w:cs="Arial" w:eastAsia="Arial" w:hAnsi="Arial"/>
                <w:sz w:val="18"/>
                <w:szCs w:val="18"/>
                <w:color w:val="auto"/>
                <w:w w:val="99"/>
              </w:rPr>
              <w:t>Up to 54,453 shares to be</w:t>
            </w:r>
          </w:p>
        </w:tc>
        <w:tc>
          <w:tcPr>
            <w:tcW w:w="240" w:type="dxa"/>
            <w:vAlign w:val="bottom"/>
          </w:tcPr>
          <w:p>
            <w:pPr>
              <w:spacing w:after="0"/>
              <w:rPr>
                <w:sz w:val="13"/>
                <w:szCs w:val="13"/>
                <w:color w:val="auto"/>
              </w:rPr>
            </w:pPr>
          </w:p>
        </w:tc>
        <w:tc>
          <w:tcPr>
            <w:tcW w:w="2080" w:type="dxa"/>
            <w:vAlign w:val="bottom"/>
          </w:tcPr>
          <w:p>
            <w:pPr>
              <w:ind w:left="300"/>
              <w:spacing w:after="0" w:line="156" w:lineRule="exact"/>
              <w:rPr>
                <w:sz w:val="20"/>
                <w:szCs w:val="20"/>
                <w:color w:val="auto"/>
              </w:rPr>
            </w:pPr>
            <w:r>
              <w:rPr>
                <w:rFonts w:ascii="Arial" w:cs="Arial" w:eastAsia="Arial" w:hAnsi="Arial"/>
                <w:sz w:val="18"/>
                <w:szCs w:val="18"/>
                <w:color w:val="auto"/>
              </w:rPr>
              <w:t>February 16, 2027</w:t>
            </w:r>
          </w:p>
        </w:tc>
        <w:tc>
          <w:tcPr>
            <w:tcW w:w="0" w:type="dxa"/>
            <w:vAlign w:val="bottom"/>
          </w:tcPr>
          <w:p>
            <w:pPr>
              <w:spacing w:after="0"/>
              <w:rPr>
                <w:sz w:val="1"/>
                <w:szCs w:val="1"/>
                <w:color w:val="auto"/>
              </w:rPr>
            </w:pPr>
          </w:p>
        </w:tc>
      </w:tr>
      <w:tr>
        <w:trPr>
          <w:trHeight w:val="224"/>
        </w:trPr>
        <w:tc>
          <w:tcPr>
            <w:tcW w:w="3240" w:type="dxa"/>
            <w:vAlign w:val="bottom"/>
          </w:tcPr>
          <w:p>
            <w:pPr>
              <w:ind w:left="120"/>
              <w:spacing w:after="0"/>
              <w:rPr>
                <w:sz w:val="20"/>
                <w:szCs w:val="20"/>
                <w:color w:val="auto"/>
              </w:rPr>
            </w:pPr>
            <w:r>
              <w:rPr>
                <w:rFonts w:ascii="Arial" w:cs="Arial" w:eastAsia="Arial" w:hAnsi="Arial"/>
                <w:sz w:val="18"/>
                <w:szCs w:val="18"/>
                <w:color w:val="auto"/>
              </w:rPr>
              <w:t>General Counsel and Corporate</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tcPr>
          <w:p>
            <w:pPr>
              <w:jc w:val="center"/>
              <w:spacing w:after="0" w:line="224" w:lineRule="exact"/>
              <w:rPr>
                <w:sz w:val="20"/>
                <w:szCs w:val="20"/>
                <w:color w:val="auto"/>
              </w:rPr>
            </w:pPr>
            <w:r>
              <w:rPr>
                <w:rFonts w:ascii="Arial" w:cs="Arial" w:eastAsia="Arial" w:hAnsi="Arial"/>
                <w:sz w:val="18"/>
                <w:szCs w:val="18"/>
                <w:color w:val="auto"/>
                <w:w w:val="91"/>
              </w:rPr>
              <w:t>sold</w:t>
            </w:r>
            <w:r>
              <w:rPr>
                <w:rFonts w:ascii="Arial" w:cs="Arial" w:eastAsia="Arial" w:hAnsi="Arial"/>
                <w:sz w:val="24"/>
                <w:szCs w:val="24"/>
                <w:color w:val="auto"/>
                <w:w w:val="91"/>
                <w:vertAlign w:val="superscript"/>
              </w:rPr>
              <w:t>(2)</w:t>
            </w: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20" w:hanging="512"/>
        <w:spacing w:after="0" w:line="284" w:lineRule="auto"/>
        <w:tabs>
          <w:tab w:leader="none" w:pos="520" w:val="left"/>
        </w:tabs>
        <w:numPr>
          <w:ilvl w:val="0"/>
          <w:numId w:val="14"/>
        </w:numPr>
        <w:rPr>
          <w:rFonts w:ascii="Times New Roman" w:cs="Times New Roman" w:eastAsia="Times New Roman" w:hAnsi="Times New Roman"/>
          <w:sz w:val="14"/>
          <w:szCs w:val="14"/>
          <w:color w:val="00002D"/>
        </w:rPr>
      </w:pPr>
      <w:r>
        <w:rPr>
          <w:rFonts w:ascii="Arial" w:cs="Arial" w:eastAsia="Arial" w:hAnsi="Arial"/>
          <w:sz w:val="14"/>
          <w:szCs w:val="14"/>
          <w:color w:val="00002D"/>
        </w:rPr>
        <w:t>The Rule 10b5-1 trading arrangement permits transactions through and including the earlier to occur of (a) the completion of all sales or (b) the date listed in the table. The arrangement also provides for automatic expiration in the event of liquidation, dissolution, bankruptcy, insolvency, or death of the adopting person.</w:t>
      </w:r>
    </w:p>
    <w:p>
      <w:pPr>
        <w:spacing w:after="0" w:line="50" w:lineRule="exact"/>
        <w:rPr>
          <w:rFonts w:ascii="Times New Roman" w:cs="Times New Roman" w:eastAsia="Times New Roman" w:hAnsi="Times New Roman"/>
          <w:sz w:val="14"/>
          <w:szCs w:val="14"/>
          <w:color w:val="00002D"/>
        </w:rPr>
      </w:pPr>
    </w:p>
    <w:p>
      <w:pPr>
        <w:jc w:val="both"/>
        <w:ind w:left="520" w:hanging="512"/>
        <w:spacing w:after="0" w:line="252" w:lineRule="auto"/>
        <w:tabs>
          <w:tab w:leader="none" w:pos="520" w:val="left"/>
        </w:tabs>
        <w:numPr>
          <w:ilvl w:val="0"/>
          <w:numId w:val="14"/>
        </w:numPr>
        <w:rPr>
          <w:rFonts w:ascii="Times New Roman" w:cs="Times New Roman" w:eastAsia="Times New Roman" w:hAnsi="Times New Roman"/>
          <w:sz w:val="14"/>
          <w:szCs w:val="14"/>
          <w:color w:val="00002D"/>
        </w:rPr>
      </w:pPr>
      <w:r>
        <w:rPr>
          <w:rFonts w:ascii="Arial" w:cs="Arial" w:eastAsia="Arial" w:hAnsi="Arial"/>
          <w:sz w:val="14"/>
          <w:szCs w:val="14"/>
          <w:color w:val="00002D"/>
        </w:rPr>
        <w:t>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Mr. Zamora’s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w:t>
      </w:r>
    </w:p>
    <w:p>
      <w:pPr>
        <w:spacing w:after="0" w:line="340" w:lineRule="exact"/>
        <w:rPr>
          <w:sz w:val="20"/>
          <w:szCs w:val="20"/>
          <w:color w:val="auto"/>
        </w:rPr>
      </w:pPr>
    </w:p>
    <w:p>
      <w:pPr>
        <w:spacing w:after="0" w:line="271" w:lineRule="auto"/>
        <w:rPr>
          <w:sz w:val="20"/>
          <w:szCs w:val="20"/>
          <w:color w:val="auto"/>
        </w:rPr>
      </w:pPr>
      <w:r>
        <w:rPr>
          <w:rFonts w:ascii="Arial" w:cs="Arial" w:eastAsia="Arial" w:hAnsi="Arial"/>
          <w:sz w:val="18"/>
          <w:szCs w:val="18"/>
          <w:color w:val="00002D"/>
        </w:rPr>
        <w:t>Other than those disclosed above, none of our directors or officers adopted, modified, or terminated a “Rule 10b5-1 trading arrangement” or “non-Rule 10b5-1 trading arrangement,” in each case as defined in Item 408 of Regulation S-K.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6"/>
          <w:szCs w:val="36"/>
          <w:b w:val="1"/>
          <w:bCs w:val="1"/>
          <w:color w:val="3465B0"/>
        </w:rPr>
        <w:t>Item 6. Exhibits.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00002D"/>
        </w:rPr>
        <w:t>The exhibits listed below are filed, furnished, or incorporated by reference into this Quarterly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420"/>
              <w:spacing w:after="0"/>
              <w:rPr>
                <w:sz w:val="20"/>
                <w:szCs w:val="20"/>
                <w:color w:val="auto"/>
              </w:rPr>
            </w:pPr>
            <w:r>
              <w:rPr>
                <w:rFonts w:ascii="Arial" w:cs="Arial" w:eastAsia="Arial" w:hAnsi="Arial"/>
                <w:sz w:val="14"/>
                <w:szCs w:val="14"/>
                <w:b w:val="1"/>
                <w:bCs w:val="1"/>
                <w:color w:val="auto"/>
              </w:rPr>
              <w:t>File</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180" w:type="dxa"/>
            <w:vAlign w:val="bottom"/>
            <w:gridSpan w:val="9"/>
          </w:tcPr>
          <w:p>
            <w:pPr>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5060" w:type="dxa"/>
            <w:vAlign w:val="bottom"/>
            <w:tcBorders>
              <w:top w:val="single" w:sz="8" w:color="auto"/>
            </w:tcBorders>
            <w:gridSpan w:val="8"/>
          </w:tcPr>
          <w:p>
            <w:pPr>
              <w:spacing w:after="0" w:line="169" w:lineRule="exact"/>
              <w:rPr>
                <w:sz w:val="20"/>
                <w:szCs w:val="20"/>
                <w:color w:val="auto"/>
              </w:rPr>
            </w:pPr>
            <w:r>
              <w:rPr>
                <w:rFonts w:ascii="Arial" w:cs="Arial" w:eastAsia="Arial" w:hAnsi="Arial"/>
                <w:sz w:val="18"/>
                <w:szCs w:val="18"/>
                <w:color w:val="3465B0"/>
              </w:rPr>
              <w:t>Certification of Principal Executive Officer and Principal</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40" w:type="dxa"/>
            <w:vAlign w:val="bottom"/>
            <w:tcBorders>
              <w:top w:val="single" w:sz="8" w:color="3465B0"/>
            </w:tcBorders>
            <w:gridSpan w:val="2"/>
          </w:tcPr>
          <w:p>
            <w:pPr>
              <w:spacing w:after="0" w:line="182" w:lineRule="exact"/>
              <w:rPr>
                <w:sz w:val="20"/>
                <w:szCs w:val="20"/>
                <w:color w:val="auto"/>
              </w:rPr>
            </w:pPr>
            <w:r>
              <w:rPr>
                <w:rFonts w:ascii="Arial" w:cs="Arial" w:eastAsia="Arial" w:hAnsi="Arial"/>
                <w:sz w:val="18"/>
                <w:szCs w:val="18"/>
                <w:color w:val="3465B0"/>
              </w:rPr>
              <w:t>Financial Officer pursuant to Rules 13a-14(a) and 15d-</w:t>
            </w:r>
          </w:p>
        </w:tc>
        <w:tc>
          <w:tcPr>
            <w:tcW w:w="740" w:type="dxa"/>
            <w:vAlign w:val="bottom"/>
            <w:gridSpan w:val="7"/>
          </w:tcPr>
          <w:p>
            <w:pPr>
              <w:spacing w:after="0" w:line="182" w:lineRule="exact"/>
              <w:rPr>
                <w:sz w:val="20"/>
                <w:szCs w:val="20"/>
                <w:color w:val="auto"/>
              </w:rPr>
            </w:pPr>
            <w:r>
              <w:rPr>
                <w:rFonts w:ascii="Arial" w:cs="Arial" w:eastAsia="Arial" w:hAnsi="Arial"/>
                <w:sz w:val="18"/>
                <w:szCs w:val="18"/>
                <w:color w:val="3465B0"/>
              </w:rPr>
              <w:t>14(a)</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top w:val="single" w:sz="8" w:color="3465B0"/>
              <w:bottom w:val="single" w:sz="8" w:color="3465B0"/>
            </w:tcBorders>
            <w:gridSpan w:val="3"/>
          </w:tcPr>
          <w:p>
            <w:pPr>
              <w:spacing w:after="0" w:line="182" w:lineRule="exact"/>
              <w:rPr>
                <w:sz w:val="20"/>
                <w:szCs w:val="20"/>
                <w:color w:val="auto"/>
              </w:rPr>
            </w:pPr>
            <w:r>
              <w:rPr>
                <w:rFonts w:ascii="Arial" w:cs="Arial" w:eastAsia="Arial" w:hAnsi="Arial"/>
                <w:sz w:val="18"/>
                <w:szCs w:val="18"/>
                <w:color w:val="3465B0"/>
              </w:rPr>
              <w:t>under the Securities Exchange Act of 1934, as adopted</w:t>
            </w:r>
          </w:p>
        </w:tc>
        <w:tc>
          <w:tcPr>
            <w:tcW w:w="360" w:type="dxa"/>
            <w:vAlign w:val="bottom"/>
            <w:tcBorders>
              <w:top w:val="single" w:sz="8" w:color="3465B0"/>
            </w:tcBorders>
            <w:gridSpan w:val="3"/>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5180" w:type="dxa"/>
            <w:vAlign w:val="bottom"/>
            <w:gridSpan w:val="9"/>
          </w:tcPr>
          <w:p>
            <w:pPr>
              <w:spacing w:after="0" w:line="182" w:lineRule="exact"/>
              <w:rPr>
                <w:sz w:val="20"/>
                <w:szCs w:val="20"/>
                <w:color w:val="auto"/>
              </w:rPr>
            </w:pPr>
            <w:r>
              <w:rPr>
                <w:rFonts w:ascii="Arial" w:cs="Arial" w:eastAsia="Arial" w:hAnsi="Arial"/>
                <w:sz w:val="18"/>
                <w:szCs w:val="18"/>
                <w:color w:val="3465B0"/>
              </w:rPr>
              <w:t>pursuant to Section 302 of the Sarbanes-Oxley Act of 2002.</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760" w:type="dxa"/>
            <w:vAlign w:val="bottom"/>
            <w:tcBorders>
              <w:top w:val="single" w:sz="8" w:color="3465B0"/>
            </w:tcBorders>
            <w:gridSpan w:val="5"/>
          </w:tcPr>
          <w:p>
            <w:pPr>
              <w:spacing w:after="0" w:line="182" w:lineRule="exact"/>
              <w:rPr>
                <w:sz w:val="20"/>
                <w:szCs w:val="20"/>
                <w:color w:val="auto"/>
              </w:rPr>
            </w:pPr>
            <w:r>
              <w:rPr>
                <w:rFonts w:ascii="Arial" w:cs="Arial" w:eastAsia="Arial" w:hAnsi="Arial"/>
                <w:sz w:val="18"/>
                <w:szCs w:val="18"/>
                <w:color w:val="3465B0"/>
              </w:rPr>
              <w:t>Certification of Principal Executive Officer and Principal</w:t>
            </w:r>
          </w:p>
        </w:tc>
        <w:tc>
          <w:tcPr>
            <w:tcW w:w="2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40" w:type="dxa"/>
            <w:vAlign w:val="bottom"/>
            <w:tcBorders>
              <w:top w:val="single" w:sz="8" w:color="3465B0"/>
              <w:bottom w:val="single" w:sz="8" w:color="3465B0"/>
            </w:tcBorders>
            <w:gridSpan w:val="2"/>
          </w:tcPr>
          <w:p>
            <w:pPr>
              <w:spacing w:after="0" w:line="182" w:lineRule="exact"/>
              <w:rPr>
                <w:sz w:val="20"/>
                <w:szCs w:val="20"/>
                <w:color w:val="auto"/>
              </w:rPr>
            </w:pPr>
            <w:r>
              <w:rPr>
                <w:rFonts w:ascii="Arial" w:cs="Arial" w:eastAsia="Arial" w:hAnsi="Arial"/>
                <w:sz w:val="18"/>
                <w:szCs w:val="18"/>
                <w:color w:val="3465B0"/>
                <w:w w:val="98"/>
              </w:rPr>
              <w:t>Financial Officer pursuant to 18 U.S.C. Section 1350, as</w:t>
            </w:r>
          </w:p>
        </w:tc>
        <w:tc>
          <w:tcPr>
            <w:tcW w:w="80" w:type="dxa"/>
            <w:vAlign w:val="bottom"/>
            <w:tcBorders>
              <w:bottom w:val="single" w:sz="8" w:color="3465B0"/>
            </w:tcBorders>
            <w:gridSpan w:val="2"/>
          </w:tcPr>
          <w:p>
            <w:pPr>
              <w:spacing w:after="0"/>
              <w:rPr>
                <w:sz w:val="15"/>
                <w:szCs w:val="15"/>
                <w:color w:val="auto"/>
              </w:rPr>
            </w:pPr>
          </w:p>
        </w:tc>
        <w:tc>
          <w:tcPr>
            <w:tcW w:w="48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gridSpan w:val="4"/>
          </w:tcPr>
          <w:p>
            <w:pPr>
              <w:spacing w:after="0" w:line="182" w:lineRule="exact"/>
              <w:rPr>
                <w:sz w:val="20"/>
                <w:szCs w:val="20"/>
                <w:color w:val="auto"/>
              </w:rPr>
            </w:pPr>
            <w:r>
              <w:rPr>
                <w:rFonts w:ascii="Arial" w:cs="Arial" w:eastAsia="Arial" w:hAnsi="Arial"/>
                <w:sz w:val="18"/>
                <w:szCs w:val="18"/>
                <w:color w:val="3465B0"/>
              </w:rPr>
              <w:t>adopted pursuant to Section 906 of the Sarbanes-Oxley</w:t>
            </w:r>
          </w:p>
        </w:tc>
        <w:tc>
          <w:tcPr>
            <w:tcW w:w="660" w:type="dxa"/>
            <w:vAlign w:val="bottom"/>
            <w:gridSpan w:val="5"/>
          </w:tcPr>
          <w:p>
            <w:pPr>
              <w:spacing w:after="0" w:line="182" w:lineRule="exact"/>
              <w:rPr>
                <w:sz w:val="20"/>
                <w:szCs w:val="20"/>
                <w:color w:val="auto"/>
              </w:rPr>
            </w:pPr>
            <w:r>
              <w:rPr>
                <w:rFonts w:ascii="Arial" w:cs="Arial" w:eastAsia="Arial" w:hAnsi="Arial"/>
                <w:sz w:val="18"/>
                <w:szCs w:val="18"/>
                <w:color w:val="3465B0"/>
              </w:rPr>
              <w:t>Act of</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5"/>
                <w:szCs w:val="15"/>
                <w:color w:val="auto"/>
              </w:rPr>
            </w:pPr>
          </w:p>
        </w:tc>
        <w:tc>
          <w:tcPr>
            <w:tcW w:w="4440" w:type="dxa"/>
            <w:vAlign w:val="bottom"/>
            <w:tcBorders>
              <w:top w:val="single" w:sz="8" w:color="3465B0"/>
            </w:tcBorders>
            <w:gridSpan w:val="2"/>
          </w:tcPr>
          <w:p>
            <w:pPr>
              <w:spacing w:after="0" w:line="182" w:lineRule="exact"/>
              <w:rPr>
                <w:sz w:val="20"/>
                <w:szCs w:val="20"/>
                <w:color w:val="auto"/>
              </w:rPr>
            </w:pPr>
            <w:r>
              <w:rPr>
                <w:rFonts w:ascii="Arial" w:cs="Arial" w:eastAsia="Arial" w:hAnsi="Arial"/>
                <w:sz w:val="18"/>
                <w:szCs w:val="18"/>
                <w:color w:val="3465B0"/>
              </w:rPr>
              <w:t>2002.</w:t>
            </w:r>
          </w:p>
        </w:tc>
        <w:tc>
          <w:tcPr>
            <w:tcW w:w="20" w:type="dxa"/>
            <w:vAlign w:val="bottom"/>
            <w:tcBorders>
              <w:top w:val="single" w:sz="8" w:color="3465B0"/>
            </w:tcBorders>
          </w:tcPr>
          <w:p>
            <w:pPr>
              <w:spacing w:after="0"/>
              <w:rPr>
                <w:sz w:val="15"/>
                <w:szCs w:val="15"/>
                <w:color w:val="auto"/>
              </w:rPr>
            </w:pPr>
          </w:p>
        </w:tc>
        <w:tc>
          <w:tcPr>
            <w:tcW w:w="60" w:type="dxa"/>
            <w:vAlign w:val="bottom"/>
            <w:tcBorders>
              <w:top w:val="single" w:sz="8" w:color="3465B0"/>
            </w:tcBorders>
          </w:tcPr>
          <w:p>
            <w:pPr>
              <w:spacing w:after="0"/>
              <w:rPr>
                <w:sz w:val="15"/>
                <w:szCs w:val="15"/>
                <w:color w:val="auto"/>
              </w:rPr>
            </w:pPr>
          </w:p>
        </w:tc>
        <w:tc>
          <w:tcPr>
            <w:tcW w:w="240" w:type="dxa"/>
            <w:vAlign w:val="bottom"/>
            <w:tcBorders>
              <w:top w:val="single" w:sz="8" w:color="3465B0"/>
            </w:tcBorders>
          </w:tcPr>
          <w:p>
            <w:pPr>
              <w:spacing w:after="0"/>
              <w:rPr>
                <w:sz w:val="15"/>
                <w:szCs w:val="15"/>
                <w:color w:val="auto"/>
              </w:rPr>
            </w:pPr>
          </w:p>
        </w:tc>
        <w:tc>
          <w:tcPr>
            <w:tcW w:w="60" w:type="dxa"/>
            <w:vAlign w:val="bottom"/>
            <w:tcBorders>
              <w:top w:val="single" w:sz="8" w:color="3465B0"/>
            </w:tcBorders>
          </w:tcPr>
          <w:p>
            <w:pPr>
              <w:spacing w:after="0"/>
              <w:rPr>
                <w:sz w:val="15"/>
                <w:szCs w:val="15"/>
                <w:color w:val="auto"/>
              </w:rPr>
            </w:pPr>
          </w:p>
        </w:tc>
        <w:tc>
          <w:tcPr>
            <w:tcW w:w="180" w:type="dxa"/>
            <w:vAlign w:val="bottom"/>
            <w:tcBorders>
              <w:top w:val="single" w:sz="8" w:color="3465B0"/>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3465B0"/>
            </w:tcBorders>
          </w:tcPr>
          <w:p>
            <w:pPr>
              <w:spacing w:after="0" w:line="191" w:lineRule="exact"/>
              <w:rPr>
                <w:sz w:val="20"/>
                <w:szCs w:val="20"/>
                <w:color w:val="auto"/>
              </w:rPr>
            </w:pPr>
            <w:r>
              <w:rPr>
                <w:rFonts w:ascii="Arial" w:cs="Arial" w:eastAsia="Arial" w:hAnsi="Arial"/>
                <w:sz w:val="18"/>
                <w:szCs w:val="18"/>
                <w:color w:val="auto"/>
              </w:rPr>
              <w:t>Inline</w:t>
            </w:r>
          </w:p>
        </w:tc>
        <w:tc>
          <w:tcPr>
            <w:tcW w:w="4720" w:type="dxa"/>
            <w:vAlign w:val="bottom"/>
            <w:gridSpan w:val="8"/>
          </w:tcPr>
          <w:p>
            <w:pPr>
              <w:ind w:left="20"/>
              <w:spacing w:after="0" w:line="191" w:lineRule="exact"/>
              <w:rPr>
                <w:sz w:val="20"/>
                <w:szCs w:val="20"/>
                <w:color w:val="auto"/>
              </w:rPr>
            </w:pPr>
            <w:r>
              <w:rPr>
                <w:rFonts w:ascii="Arial" w:cs="Arial" w:eastAsia="Arial" w:hAnsi="Arial"/>
                <w:sz w:val="18"/>
                <w:szCs w:val="18"/>
                <w:color w:val="auto"/>
              </w:rPr>
              <w:t>XBRL Instance Document- the instance document does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9"/>
          </w:tcPr>
          <w:p>
            <w:pPr>
              <w:spacing w:after="0" w:line="202" w:lineRule="exact"/>
              <w:rPr>
                <w:sz w:val="20"/>
                <w:szCs w:val="20"/>
                <w:color w:val="auto"/>
              </w:rPr>
            </w:pPr>
            <w:r>
              <w:rPr>
                <w:rFonts w:ascii="Arial" w:cs="Arial" w:eastAsia="Arial" w:hAnsi="Arial"/>
                <w:sz w:val="18"/>
                <w:szCs w:val="18"/>
                <w:color w:val="auto"/>
              </w:rPr>
              <w:t>not appear in the Interactive Data File because its XBRL tags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9"/>
          </w:tcPr>
          <w:p>
            <w:pPr>
              <w:spacing w:after="0" w:line="202" w:lineRule="exact"/>
              <w:rPr>
                <w:sz w:val="20"/>
                <w:szCs w:val="20"/>
                <w:color w:val="auto"/>
              </w:rPr>
            </w:pPr>
            <w:r>
              <w:rPr>
                <w:rFonts w:ascii="Arial" w:cs="Arial" w:eastAsia="Arial" w:hAnsi="Arial"/>
                <w:sz w:val="18"/>
                <w:szCs w:val="18"/>
                <w:color w:val="auto"/>
              </w:rPr>
              <w:t>are embedded within the Inline XBRL document.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7"/>
                <w:szCs w:val="17"/>
                <w:color w:val="auto"/>
              </w:rPr>
            </w:pPr>
          </w:p>
        </w:tc>
        <w:tc>
          <w:tcPr>
            <w:tcW w:w="518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Schema With Embedded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9"/>
          </w:tcPr>
          <w:p>
            <w:pPr>
              <w:spacing w:after="0" w:line="202" w:lineRule="exact"/>
              <w:rPr>
                <w:sz w:val="20"/>
                <w:szCs w:val="20"/>
                <w:color w:val="auto"/>
              </w:rPr>
            </w:pPr>
            <w:r>
              <w:rPr>
                <w:rFonts w:ascii="Arial" w:cs="Arial" w:eastAsia="Arial" w:hAnsi="Arial"/>
                <w:sz w:val="18"/>
                <w:szCs w:val="18"/>
                <w:color w:val="auto"/>
              </w:rPr>
              <w:t>Linkbase Documents.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5180" w:type="dxa"/>
            <w:vAlign w:val="bottom"/>
            <w:gridSpan w:val="9"/>
          </w:tcPr>
          <w:p>
            <w:pPr>
              <w:spacing w:after="0" w:line="202" w:lineRule="exact"/>
              <w:rPr>
                <w:sz w:val="20"/>
                <w:szCs w:val="20"/>
                <w:color w:val="auto"/>
              </w:rPr>
            </w:pPr>
            <w:r>
              <w:rPr>
                <w:rFonts w:ascii="Arial" w:cs="Arial" w:eastAsia="Arial" w:hAnsi="Arial"/>
                <w:sz w:val="18"/>
                <w:szCs w:val="18"/>
                <w:color w:val="auto"/>
              </w:rPr>
              <w:t>Cover Page Interactive Data File (Embedded within the Inline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gridSpan w:val="9"/>
          </w:tcPr>
          <w:p>
            <w:pPr>
              <w:spacing w:after="0"/>
              <w:rPr>
                <w:sz w:val="20"/>
                <w:szCs w:val="20"/>
                <w:color w:val="auto"/>
              </w:rPr>
            </w:pPr>
            <w:r>
              <w:rPr>
                <w:rFonts w:ascii="Arial" w:cs="Arial" w:eastAsia="Arial" w:hAnsi="Arial"/>
                <w:sz w:val="18"/>
                <w:szCs w:val="18"/>
                <w:color w:val="auto"/>
              </w:rPr>
              <w:t>XBRL document and included in Exhibit)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1912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1" w:lineRule="exact"/>
        <w:rPr>
          <w:sz w:val="20"/>
          <w:szCs w:val="20"/>
          <w:color w:val="auto"/>
        </w:rPr>
      </w:pPr>
    </w:p>
    <w:p>
      <w:pPr>
        <w:ind w:firstLine="8"/>
        <w:spacing w:after="0" w:line="271" w:lineRule="auto"/>
        <w:tabs>
          <w:tab w:leader="none" w:pos="124" w:val="left"/>
        </w:tabs>
        <w:numPr>
          <w:ilvl w:val="0"/>
          <w:numId w:val="15"/>
        </w:numPr>
        <w:rPr>
          <w:rFonts w:ascii="Arial" w:cs="Arial" w:eastAsia="Arial" w:hAnsi="Arial"/>
          <w:sz w:val="18"/>
          <w:szCs w:val="18"/>
          <w:color w:val="00002D"/>
        </w:rPr>
      </w:pPr>
      <w:r>
        <w:rPr>
          <w:rFonts w:ascii="Arial" w:cs="Arial" w:eastAsia="Arial" w:hAnsi="Arial"/>
          <w:sz w:val="18"/>
          <w:szCs w:val="18"/>
          <w:color w:val="00002D"/>
        </w:rPr>
        <w:t>The certification furnished in Exhibit 32.1 hereto is deemed to accompany this Quarterly Report and will not be deemed “filed” for purposes of Section 18 of the Exchange Act, except to the extent that the Registrant specifically incorporates it by reference.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00002D"/>
        </w:rPr>
        <w:t>SIGNATURES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00002D"/>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CarGurus, Inc.</w:t>
      </w:r>
    </w:p>
    <w:p>
      <w:pPr>
        <w:spacing w:after="0" w:line="239" w:lineRule="exact"/>
        <w:rPr>
          <w:sz w:val="20"/>
          <w:szCs w:val="20"/>
          <w:color w:val="auto"/>
        </w:rPr>
      </w:pPr>
    </w:p>
    <w:p>
      <w:pPr>
        <w:spacing w:after="0"/>
        <w:tabs>
          <w:tab w:leader="none" w:pos="5500" w:val="left"/>
          <w:tab w:leader="none" w:pos="6000" w:val="left"/>
        </w:tabs>
        <w:rPr>
          <w:sz w:val="20"/>
          <w:szCs w:val="20"/>
          <w:color w:val="auto"/>
        </w:rPr>
      </w:pPr>
      <w:r>
        <w:rPr>
          <w:rFonts w:ascii="Arial" w:cs="Arial" w:eastAsia="Arial" w:hAnsi="Arial"/>
          <w:sz w:val="18"/>
          <w:szCs w:val="18"/>
          <w:color w:val="00002D"/>
        </w:rPr>
        <w:t>Date: May 7, 2026</w:t>
      </w:r>
      <w:r>
        <w:rPr>
          <w:sz w:val="20"/>
          <w:szCs w:val="20"/>
          <w:color w:val="auto"/>
        </w:rPr>
        <w:tab/>
      </w:r>
      <w:r>
        <w:rPr>
          <w:rFonts w:ascii="Arial" w:cs="Arial" w:eastAsia="Arial" w:hAnsi="Arial"/>
          <w:sz w:val="18"/>
          <w:szCs w:val="18"/>
          <w:color w:val="00002D"/>
        </w:rPr>
        <w:t>By:</w:t>
      </w:r>
      <w:r>
        <w:rPr>
          <w:sz w:val="20"/>
          <w:szCs w:val="20"/>
          <w:color w:val="auto"/>
        </w:rPr>
        <w:tab/>
      </w:r>
      <w:r>
        <w:rPr>
          <w:rFonts w:ascii="Arial" w:cs="Arial" w:eastAsia="Arial" w:hAnsi="Arial"/>
          <w:sz w:val="17"/>
          <w:szCs w:val="17"/>
          <w:color w:val="00002D"/>
        </w:rPr>
        <w:t>/s/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00002D"/>
        </w:rPr>
        <w:t>Jason Trevisan</w:t>
      </w:r>
    </w:p>
    <w:p>
      <w:pPr>
        <w:ind w:left="6020"/>
        <w:spacing w:after="0" w:line="234" w:lineRule="auto"/>
        <w:rPr>
          <w:sz w:val="20"/>
          <w:szCs w:val="20"/>
          <w:color w:val="auto"/>
        </w:rPr>
      </w:pPr>
      <w:r>
        <w:rPr>
          <w:rFonts w:ascii="Arial" w:cs="Arial" w:eastAsia="Arial" w:hAnsi="Arial"/>
          <w:sz w:val="18"/>
          <w:szCs w:val="18"/>
          <w:color w:val="00002D"/>
        </w:rPr>
        <w:t>Chief Executive Officer</w:t>
      </w:r>
    </w:p>
    <w:p>
      <w:pPr>
        <w:ind w:left="6020"/>
        <w:spacing w:after="0" w:line="235" w:lineRule="auto"/>
        <w:rPr>
          <w:sz w:val="20"/>
          <w:szCs w:val="20"/>
          <w:color w:val="auto"/>
        </w:rPr>
      </w:pPr>
      <w:r>
        <w:rPr>
          <w:rFonts w:ascii="Arial" w:cs="Arial" w:eastAsia="Arial" w:hAnsi="Arial"/>
          <w:sz w:val="18"/>
          <w:szCs w:val="18"/>
          <w:i w:val="1"/>
          <w:iCs w:val="1"/>
          <w:color w:val="00002D"/>
        </w:rPr>
        <w:t>(Principal Executive Officer, Principal Financial Officer, and</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00002D"/>
        </w:rPr>
        <w:t>Principal Accounting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15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 have reviewed this Quarterly Report on Form 10-Q of CarGurus, Inc.;</w:t>
      </w:r>
    </w:p>
    <w:p>
      <w:pPr>
        <w:spacing w:after="0" w:line="170"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Jason Trevisan</w:t>
      </w:r>
    </w:p>
    <w:p>
      <w:pPr>
        <w:ind w:left="6020"/>
        <w:spacing w:after="0" w:line="234" w:lineRule="auto"/>
        <w:rPr>
          <w:sz w:val="20"/>
          <w:szCs w:val="20"/>
          <w:color w:val="auto"/>
        </w:rPr>
      </w:pPr>
      <w:r>
        <w:rPr>
          <w:rFonts w:ascii="Arial" w:cs="Arial" w:eastAsia="Arial" w:hAnsi="Arial"/>
          <w:sz w:val="18"/>
          <w:szCs w:val="18"/>
          <w:color w:val="auto"/>
        </w:rPr>
        <w:t>Chief Executive Officer</w:t>
      </w:r>
    </w:p>
    <w:p>
      <w:pPr>
        <w:ind w:left="6020"/>
        <w:spacing w:after="0" w:line="235" w:lineRule="auto"/>
        <w:rPr>
          <w:sz w:val="20"/>
          <w:szCs w:val="20"/>
          <w:color w:val="auto"/>
        </w:rPr>
      </w:pPr>
      <w:r>
        <w:rPr>
          <w:rFonts w:ascii="Arial" w:cs="Arial" w:eastAsia="Arial" w:hAnsi="Arial"/>
          <w:sz w:val="18"/>
          <w:szCs w:val="18"/>
          <w:i w:val="1"/>
          <w:iCs w:val="1"/>
          <w:color w:val="auto"/>
        </w:rPr>
        <w:t>(Principal Executive Officer, Principal Financial Officer, and</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connection with the Quarterly Report on Form 10-Q of CarGurus, Inc. (the “Company”) for the period ending March 31, 2026,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7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Jason Trevisan</w:t>
      </w:r>
    </w:p>
    <w:p>
      <w:pPr>
        <w:ind w:left="6020"/>
        <w:spacing w:after="0" w:line="234" w:lineRule="auto"/>
        <w:rPr>
          <w:sz w:val="20"/>
          <w:szCs w:val="20"/>
          <w:color w:val="auto"/>
        </w:rPr>
      </w:pPr>
      <w:r>
        <w:rPr>
          <w:rFonts w:ascii="Arial" w:cs="Arial" w:eastAsia="Arial" w:hAnsi="Arial"/>
          <w:sz w:val="18"/>
          <w:szCs w:val="18"/>
          <w:color w:val="auto"/>
        </w:rPr>
        <w:t>Chief Executive Officer</w:t>
      </w:r>
    </w:p>
    <w:p>
      <w:pPr>
        <w:ind w:left="6020"/>
        <w:spacing w:after="0" w:line="235" w:lineRule="auto"/>
        <w:rPr>
          <w:sz w:val="20"/>
          <w:szCs w:val="20"/>
          <w:color w:val="auto"/>
        </w:rPr>
      </w:pPr>
      <w:r>
        <w:rPr>
          <w:rFonts w:ascii="Arial" w:cs="Arial" w:eastAsia="Arial" w:hAnsi="Arial"/>
          <w:sz w:val="18"/>
          <w:szCs w:val="18"/>
          <w:i w:val="1"/>
          <w:iCs w:val="1"/>
          <w:color w:val="auto"/>
        </w:rPr>
        <w:t>(Principal Executive Officer, Principal Financial Officer, and</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2026-05-07T15:26:58Z</dcterms:created>
  <dcterms:modified xsi:type="dcterms:W3CDTF">2026-05-07T15:26:58Z</dcterms:modified>
</cp:coreProperties>
</file>