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arg-20230930.htm"/>
      <w:bookmarkStart w:id="1" w:name="kscarg20230930"/>
      <w:bookmarkEnd w:id="0"/>
      <w:bookmarkEnd w:id="1"/>
      <w:r>
        <w:rPr/>
        <w:t> </w:t>
      </w:r>
    </w:p>
    <w:p>
      <w:pPr>
        <w:pStyle w:val="TextBody"/>
        <w:bidi w:val="0"/>
        <w:spacing w:before="4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jc w:val="center"/>
        <w:rPr>
          <w:rFonts w:ascii="Calibri;sans-serif" w:hAnsi="Calibri;sans-serif"/>
          <w:b/>
          <w:color w:val="000000"/>
          <w:sz w:val="24"/>
        </w:rPr>
      </w:pPr>
      <w:r>
        <w:rPr>
          <w:rFonts w:ascii="Calibri;sans-serif" w:hAnsi="Calibri;sans-serif"/>
          <w:b/>
          <w:color w:val="000000"/>
          <w:sz w:val="24"/>
        </w:rPr>
        <w:t>WASHINGTON, DC 20549</w:t>
      </w:r>
    </w:p>
    <w:p>
      <w:pPr>
        <w:pStyle w:val="TextBody"/>
        <w:pBdr>
          <w:bottom w:val="single" w:sz="4" w:space="1" w:color="000000"/>
        </w:pBdr>
        <w:bidi w:val="0"/>
        <w:ind w:left="4320" w:right="4320" w:hanging="0"/>
        <w:jc w:val="center"/>
        <w:rPr/>
      </w:pPr>
      <w:r>
        <w:rPr/>
        <w:t> </w:t>
      </w:r>
    </w:p>
    <w:p>
      <w:pPr>
        <w:pStyle w:val="TextBody"/>
        <w:bidi w:val="0"/>
        <w:spacing w:before="80" w:after="283"/>
        <w:jc w:val="center"/>
        <w:rPr>
          <w:rFonts w:ascii="Calibri;sans-serif" w:hAnsi="Calibri;sans-serif"/>
          <w:b/>
          <w:color w:val="000000"/>
          <w:sz w:val="36"/>
        </w:rPr>
      </w:pPr>
      <w:r>
        <w:rPr>
          <w:rFonts w:ascii="Calibri;sans-serif" w:hAnsi="Calibri;sans-serif"/>
          <w:b/>
          <w:color w:val="000000"/>
          <w:sz w:val="36"/>
        </w:rPr>
        <w:t>FORM 10-Q</w:t>
      </w:r>
    </w:p>
    <w:p>
      <w:pPr>
        <w:pStyle w:val="TextBody"/>
        <w:pBdr>
          <w:bottom w:val="single" w:sz="4" w:space="1" w:color="000000"/>
        </w:pBdr>
        <w:bidi w:val="0"/>
        <w:ind w:left="4320" w:right="4320" w:hanging="0"/>
        <w:jc w:val="center"/>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4"/>
              </w:rPr>
            </w:pPr>
            <w:r>
              <w:rPr>
                <w:rFonts w:ascii="Calibri;sans-serif" w:hAnsi="Calibri;sans-serif"/>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For the quarterly period ended September 30, 2023</w:t>
      </w:r>
    </w:p>
    <w:p>
      <w:pPr>
        <w:pStyle w:val="TextBody"/>
        <w:bidi w:val="0"/>
        <w:spacing w:before="80" w:after="283"/>
        <w:jc w:val="center"/>
        <w:rPr>
          <w:rFonts w:ascii="Calibri;sans-serif" w:hAnsi="Calibri;sans-serif"/>
          <w:b/>
          <w:color w:val="000000"/>
          <w:sz w:val="20"/>
        </w:rPr>
      </w:pPr>
      <w:r>
        <w:rPr>
          <w:rFonts w:ascii="Calibri;sans-serif" w:hAnsi="Calibri;sans-serif"/>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4"/>
              </w:rPr>
            </w:pPr>
            <w:r>
              <w:rPr>
                <w:rFonts w:ascii="Calibri;sans-serif" w:hAnsi="Calibri;sans-serif"/>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For the transition period from _________________ to _________________</w:t>
      </w:r>
    </w:p>
    <w:p>
      <w:pPr>
        <w:pStyle w:val="TextBody"/>
        <w:bidi w:val="0"/>
        <w:spacing w:before="80" w:after="283"/>
        <w:jc w:val="center"/>
        <w:rPr>
          <w:rFonts w:ascii="Calibri;sans-serif" w:hAnsi="Calibri;sans-serif"/>
          <w:b/>
          <w:color w:val="000000"/>
          <w:sz w:val="20"/>
        </w:rPr>
      </w:pPr>
      <w:r>
        <w:rPr>
          <w:rFonts w:ascii="Calibri;sans-serif" w:hAnsi="Calibri;sans-serif"/>
          <w:b/>
          <w:color w:val="000000"/>
          <w:sz w:val="20"/>
        </w:rPr>
        <w:t>Commission File Number: 001-38233</w:t>
      </w:r>
    </w:p>
    <w:p>
      <w:pPr>
        <w:pStyle w:val="TextBody"/>
        <w:pBdr>
          <w:bottom w:val="single" w:sz="4" w:space="1" w:color="000000"/>
        </w:pBdr>
        <w:bidi w:val="0"/>
        <w:spacing w:before="0" w:after="80"/>
        <w:ind w:left="4320" w:right="4320" w:hanging="0"/>
        <w:jc w:val="center"/>
        <w:rPr/>
      </w:pPr>
      <w:r>
        <w:rPr/>
        <w:t> </w:t>
      </w:r>
    </w:p>
    <w:p>
      <w:pPr>
        <w:pStyle w:val="TextBody"/>
        <w:bidi w:val="0"/>
        <w:jc w:val="center"/>
        <w:rPr>
          <w:rFonts w:ascii="Calibri;sans-serif" w:hAnsi="Calibri;sans-serif"/>
          <w:b/>
          <w:color w:val="000000"/>
          <w:sz w:val="48"/>
        </w:rPr>
      </w:pPr>
      <w:r>
        <w:rPr>
          <w:rFonts w:ascii="Calibri;sans-serif" w:hAnsi="Calibri;sans-serif"/>
          <w:b/>
          <w:color w:val="000000"/>
          <w:sz w:val="48"/>
        </w:rPr>
        <w:t>CARGURUS, INC.</w:t>
      </w:r>
    </w:p>
    <w:p>
      <w:pPr>
        <w:pStyle w:val="TextBody"/>
        <w:bidi w:val="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pBdr>
          <w:bottom w:val="single" w:sz="4" w:space="1" w:color="000000"/>
        </w:pBdr>
        <w:bidi w:val="0"/>
        <w:ind w:left="4320" w:right="4320" w:hanging="0"/>
        <w:jc w:val="center"/>
        <w:rPr/>
      </w:pPr>
      <w:r>
        <w:rPr/>
        <w:t> </w:t>
      </w:r>
    </w:p>
    <w:p>
      <w:pPr>
        <w:pStyle w:val="TextBody"/>
        <w:bidi w:val="0"/>
        <w:jc w:val="left"/>
        <w:rPr/>
      </w:pPr>
      <w:r>
        <w:rPr/>
        <w:t> </w:t>
      </w:r>
    </w:p>
    <w:tbl>
      <w:tblPr>
        <w:tblW w:w="4142" w:type="dxa"/>
        <w:jc w:val="left"/>
        <w:tblInd w:w="0" w:type="dxa"/>
        <w:tblLayout w:type="fixed"/>
        <w:tblCellMar>
          <w:top w:w="28" w:type="dxa"/>
          <w:left w:w="28" w:type="dxa"/>
          <w:bottom w:w="28" w:type="dxa"/>
          <w:right w:w="28" w:type="dxa"/>
        </w:tblCellMar>
      </w:tblPr>
      <w:tblGrid>
        <w:gridCol w:w="2761"/>
        <w:gridCol w:w="1381"/>
      </w:tblGrid>
      <w:tr>
        <w:trPr/>
        <w:tc>
          <w:tcPr>
            <w:tcW w:w="27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Delaware</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04-3843478</w:t>
            </w:r>
          </w:p>
        </w:tc>
      </w:tr>
      <w:tr>
        <w:trPr/>
        <w:tc>
          <w:tcPr>
            <w:tcW w:w="2761" w:type="dxa"/>
            <w:tcBorders/>
            <w:tcMar>
              <w:top w:w="0" w:type="dxa"/>
              <w:left w:w="0" w:type="dxa"/>
              <w:bottom w:w="0" w:type="dxa"/>
              <w:right w:w="0" w:type="dxa"/>
            </w:tcMar>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(State or other jurisdiction of</w:t>
            </w:r>
          </w:p>
          <w:p>
            <w:pPr>
              <w:pStyle w:val="TableContents"/>
              <w:bidi w:val="0"/>
              <w:spacing w:before="0" w:after="9"/>
              <w:jc w:val="center"/>
              <w:rPr>
                <w:rFonts w:ascii="Calibri;sans-serif" w:hAnsi="Calibri;sans-serif"/>
                <w:b/>
                <w:color w:val="000000"/>
                <w:sz w:val="16"/>
              </w:rPr>
            </w:pPr>
            <w:r>
              <w:rPr>
                <w:rFonts w:ascii="Calibri;sans-serif" w:hAnsi="Calibri;sans-serif"/>
                <w:b/>
                <w:color w:val="000000"/>
                <w:sz w:val="16"/>
              </w:rPr>
              <w:t>incorporation or organization)</w:t>
            </w:r>
          </w:p>
        </w:tc>
        <w:tc>
          <w:tcPr>
            <w:tcW w:w="1381" w:type="dxa"/>
            <w:tcBorders/>
            <w:tcMar>
              <w:top w:w="0" w:type="dxa"/>
              <w:left w:w="0" w:type="dxa"/>
              <w:bottom w:w="0" w:type="dxa"/>
              <w:right w:w="0" w:type="dxa"/>
            </w:tcMar>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(I.R.S. Employer</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Identification No.)</w:t>
            </w:r>
          </w:p>
        </w:tc>
      </w:tr>
      <w:tr>
        <w:trPr/>
        <w:tc>
          <w:tcPr>
            <w:tcW w:w="2761" w:type="dxa"/>
            <w:tcBorders/>
            <w:tcMar>
              <w:top w:w="0" w:type="dxa"/>
              <w:left w:w="0" w:type="dxa"/>
              <w:bottom w:w="0" w:type="dxa"/>
              <w:right w:w="0" w:type="dxa"/>
            </w:tcMar>
            <w:vAlign w:val="center"/>
          </w:tcPr>
          <w:p>
            <w:pPr>
              <w:pStyle w:val="TableContents"/>
              <w:bidi w:val="0"/>
              <w:spacing w:before="0" w:after="9"/>
              <w:jc w:val="center"/>
              <w:rPr/>
            </w:pPr>
            <w:r>
              <w:rPr/>
              <w:t> </w:t>
            </w:r>
          </w:p>
          <w:p>
            <w:pPr>
              <w:pStyle w:val="TableContents"/>
              <w:bidi w:val="0"/>
              <w:spacing w:before="0" w:after="9"/>
              <w:jc w:val="center"/>
              <w:rPr>
                <w:rFonts w:ascii="Calibri;sans-serif" w:hAnsi="Calibri;sans-serif"/>
                <w:b/>
                <w:color w:val="000000"/>
                <w:sz w:val="20"/>
              </w:rPr>
            </w:pPr>
            <w:r>
              <w:rPr>
                <w:rFonts w:ascii="Calibri;sans-serif" w:hAnsi="Calibri;sans-serif"/>
                <w:b/>
                <w:color w:val="000000"/>
                <w:sz w:val="20"/>
              </w:rPr>
              <w:t>2 Canal Park, 4th Floor</w:t>
            </w:r>
          </w:p>
          <w:p>
            <w:pPr>
              <w:pStyle w:val="TableContents"/>
              <w:bidi w:val="0"/>
              <w:spacing w:before="0" w:after="9"/>
              <w:jc w:val="center"/>
              <w:rPr>
                <w:rFonts w:ascii="Times New Roman" w:hAnsi="Times New Roman"/>
                <w:sz w:val="20"/>
              </w:rPr>
            </w:pPr>
            <w:r>
              <w:rPr>
                <w:rFonts w:ascii="Calibri;sans-serif" w:hAnsi="Calibri;sans-serif"/>
                <w:b/>
                <w:color w:val="000000"/>
                <w:sz w:val="20"/>
              </w:rPr>
              <w:t>Cambridge, Massachusetts</w:t>
            </w:r>
            <w:r>
              <w:rPr>
                <w:rFonts w:ascii="Times New Roman" w:hAnsi="Times New Roman"/>
                <w:color w:val="000000"/>
                <w:sz w:val="20"/>
              </w:rPr>
              <w:t xml:space="preserve">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02141</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before="40" w:after="283"/>
        <w:jc w:val="center"/>
        <w:rPr>
          <w:rFonts w:ascii="Calibri;sans-serif" w:hAnsi="Calibri;sans-serif"/>
          <w:b/>
          <w:color w:val="000000"/>
          <w:sz w:val="18"/>
        </w:rPr>
      </w:pPr>
      <w:r>
        <w:rPr>
          <w:rFonts w:ascii="Calibri;sans-serif" w:hAnsi="Calibri;sans-serif"/>
          <w:b/>
          <w:color w:val="000000"/>
          <w:sz w:val="18"/>
        </w:rPr>
        <w:t>(617) 354-0068</w:t>
      </w:r>
    </w:p>
    <w:p>
      <w:pPr>
        <w:pStyle w:val="TextBody"/>
        <w:bidi w:val="0"/>
        <w:spacing w:before="40" w:after="283"/>
        <w:jc w:val="center"/>
        <w:rPr>
          <w:rFonts w:ascii="Times New Roman" w:hAnsi="Times New Roman"/>
          <w:sz w:val="20"/>
        </w:rPr>
      </w:pPr>
      <w:r>
        <w:rPr>
          <w:rFonts w:ascii="Calibri;sans-serif" w:hAnsi="Calibri;sans-serif"/>
          <w:b w:val="false"/>
          <w:color w:val="000000"/>
          <w:sz w:val="18"/>
        </w:rPr>
        <w:t>(Registrant’s telephone number, including area code)</w:t>
      </w:r>
      <w:r>
        <w:rPr>
          <w:rFonts w:ascii="Times New Roman" w:hAnsi="Times New Roman"/>
          <w:color w:val="000000"/>
          <w:sz w:val="20"/>
        </w:rPr>
        <w:t xml:space="preserve"> </w:t>
      </w:r>
    </w:p>
    <w:p>
      <w:pPr>
        <w:pStyle w:val="TextBody"/>
        <w:bidi w:val="0"/>
        <w:spacing w:before="80" w:after="283"/>
        <w:ind w:left="0" w:right="0" w:firstLine="490"/>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p>
      <w:pPr>
        <w:pStyle w:val="TextBody"/>
        <w:bidi w:val="0"/>
        <w:jc w:val="center"/>
        <w:rPr/>
      </w:pPr>
      <w:r>
        <w:rPr/>
        <w:t> </w:t>
      </w:r>
    </w:p>
    <w:tbl>
      <w:tblPr>
        <w:tblW w:w="9078" w:type="dxa"/>
        <w:jc w:val="left"/>
        <w:tblInd w:w="0" w:type="dxa"/>
        <w:tblLayout w:type="fixed"/>
        <w:tblCellMar>
          <w:top w:w="28" w:type="dxa"/>
          <w:left w:w="28" w:type="dxa"/>
          <w:bottom w:w="28" w:type="dxa"/>
          <w:right w:w="28" w:type="dxa"/>
        </w:tblCellMar>
      </w:tblPr>
      <w:tblGrid>
        <w:gridCol w:w="3556"/>
        <w:gridCol w:w="1261"/>
        <w:gridCol w:w="4261"/>
      </w:tblGrid>
      <w:tr>
        <w:trPr/>
        <w:tc>
          <w:tcPr>
            <w:tcW w:w="35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283"/>
              <w:jc w:val="center"/>
              <w:rPr>
                <w:rFonts w:ascii="Calibri;sans-serif" w:hAnsi="Calibri;sans-serif"/>
                <w:b/>
                <w:color w:val="000000"/>
                <w:sz w:val="18"/>
                <w:u w:val="single"/>
              </w:rPr>
            </w:pPr>
            <w:r>
              <w:rPr>
                <w:rFonts w:ascii="Calibri;sans-serif" w:hAnsi="Calibri;sans-serif"/>
                <w:b/>
                <w:color w:val="000000"/>
                <w:sz w:val="18"/>
                <w:u w:val="single"/>
              </w:rPr>
              <w:t>Title of Each Class</w:t>
            </w:r>
          </w:p>
        </w:tc>
        <w:tc>
          <w:tcPr>
            <w:tcW w:w="1261" w:type="dxa"/>
            <w:tcBorders/>
            <w:vAlign w:val="center"/>
          </w:tcPr>
          <w:p>
            <w:pPr>
              <w:pStyle w:val="TableContents"/>
              <w:bidi w:val="0"/>
              <w:spacing w:before="0" w:after="283"/>
              <w:jc w:val="center"/>
              <w:rPr>
                <w:rFonts w:ascii="Calibri;sans-serif" w:hAnsi="Calibri;sans-serif"/>
                <w:b/>
                <w:color w:val="000000"/>
                <w:sz w:val="18"/>
                <w:u w:val="single"/>
              </w:rPr>
            </w:pPr>
            <w:r>
              <w:rPr>
                <w:rFonts w:ascii="Calibri;sans-serif" w:hAnsi="Calibri;sans-serif"/>
                <w:b/>
                <w:color w:val="000000"/>
                <w:sz w:val="18"/>
                <w:u w:val="single"/>
              </w:rPr>
              <w:t>Trading Symbol</w:t>
            </w:r>
          </w:p>
        </w:tc>
        <w:tc>
          <w:tcPr>
            <w:tcW w:w="4261" w:type="dxa"/>
            <w:tcBorders/>
            <w:vAlign w:val="center"/>
          </w:tcPr>
          <w:p>
            <w:pPr>
              <w:pStyle w:val="TableContents"/>
              <w:bidi w:val="0"/>
              <w:spacing w:before="0" w:after="283"/>
              <w:jc w:val="center"/>
              <w:rPr>
                <w:rFonts w:ascii="Calibri;sans-serif" w:hAnsi="Calibri;sans-serif"/>
                <w:b/>
                <w:color w:val="000000"/>
                <w:sz w:val="18"/>
                <w:u w:val="single"/>
              </w:rPr>
            </w:pPr>
            <w:r>
              <w:rPr>
                <w:rFonts w:ascii="Calibri;sans-serif" w:hAnsi="Calibri;sans-serif"/>
                <w:b/>
                <w:color w:val="000000"/>
                <w:sz w:val="18"/>
                <w:u w:val="single"/>
              </w:rPr>
              <w:t>Name of Exchange on Which Registered</w:t>
            </w:r>
          </w:p>
        </w:tc>
      </w:tr>
      <w:tr>
        <w:trPr/>
        <w:tc>
          <w:tcPr>
            <w:tcW w:w="3556"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Class A Common Stock, par value $0.001 per share</w:t>
            </w:r>
          </w:p>
        </w:tc>
        <w:tc>
          <w:tcPr>
            <w:tcW w:w="1261"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CARG</w:t>
            </w:r>
          </w:p>
        </w:tc>
        <w:tc>
          <w:tcPr>
            <w:tcW w:w="4261" w:type="dxa"/>
            <w:tcBorders/>
            <w:vAlign w:val="center"/>
          </w:tcPr>
          <w:p>
            <w:pPr>
              <w:pStyle w:val="TableContents"/>
              <w:bidi w:val="0"/>
              <w:jc w:val="center"/>
              <w:rPr>
                <w:rFonts w:ascii="Times New Roman" w:hAnsi="Times New Roman"/>
                <w:sz w:val="20"/>
              </w:rPr>
            </w:pPr>
            <w:r>
              <w:rPr>
                <w:rFonts w:ascii="Calibri;sans-serif" w:hAnsi="Calibri;sans-serif"/>
                <w:b/>
                <w:color w:val="000000"/>
                <w:sz w:val="16"/>
              </w:rPr>
              <w:t>The Nasdaq Stock Market LLC</w:t>
            </w:r>
            <w:r>
              <w:rPr>
                <w:rFonts w:ascii="Times New Roman" w:hAnsi="Times New Roman"/>
                <w:color w:val="000000"/>
                <w:sz w:val="20"/>
              </w:rPr>
              <w:t> </w:t>
            </w:r>
            <w:r>
              <w:rPr>
                <w:rFonts w:ascii="Calibri;sans-serif" w:hAnsi="Calibri;sans-serif"/>
                <w:b/>
                <w:color w:val="000000"/>
                <w:sz w:val="16"/>
              </w:rPr>
              <w:t>(Nasdaq Global Select Market)</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sz w:val="20"/>
        </w:rPr>
      </w:pPr>
      <w:r>
        <w:rPr>
          <w:rFonts w:ascii="Calibri;sans-serif" w:hAnsi="Calibri;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Calibri;sans-serif" w:hAnsi="Calibri;sans-serif"/>
          <w:b w:val="false"/>
          <w:color w:val="000000"/>
          <w:sz w:val="20"/>
        </w:rPr>
        <w:t>No ☐</w:t>
      </w:r>
      <w:r>
        <w:rPr>
          <w:rFonts w:ascii="Times New Roman" w:hAnsi="Times New Roman"/>
          <w:color w:val="000000"/>
          <w:sz w:val="20"/>
        </w:rPr>
        <w:t xml:space="preserve"> </w:t>
      </w:r>
    </w:p>
    <w:p>
      <w:pPr>
        <w:pStyle w:val="TextBody"/>
        <w:bidi w:val="0"/>
        <w:ind w:left="0" w:right="0" w:firstLine="490"/>
        <w:jc w:val="left"/>
        <w:rPr/>
      </w:pPr>
      <w:r>
        <w:rPr/>
        <w:t> </w:t>
      </w:r>
    </w:p>
    <w:p>
      <w:pPr>
        <w:pStyle w:val="TextBody"/>
        <w:bidi w:val="0"/>
        <w:ind w:left="0" w:right="0" w:firstLine="490"/>
        <w:jc w:val="left"/>
        <w:rPr>
          <w:rFonts w:ascii="Times New Roman" w:hAnsi="Times New Roman"/>
          <w:sz w:val="20"/>
        </w:rPr>
      </w:pPr>
      <w:r>
        <w:rPr>
          <w:rFonts w:ascii="Calibri;sans-serif" w:hAnsi="Calibri;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Calibri;sans-serif" w:hAnsi="Calibri;sans-serif"/>
          <w:b w:val="false"/>
          <w:color w:val="000000"/>
          <w:sz w:val="20"/>
        </w:rPr>
        <w:t>No ☐</w:t>
      </w:r>
      <w:r>
        <w:rPr>
          <w:rFonts w:ascii="Times New Roman" w:hAnsi="Times New Roman"/>
          <w:color w:val="000000"/>
          <w:sz w:val="20"/>
        </w:rPr>
        <w:t xml:space="preserve"> </w:t>
      </w:r>
    </w:p>
    <w:p>
      <w:pPr>
        <w:pStyle w:val="TextBody"/>
        <w:bidi w:val="0"/>
        <w:ind w:left="0" w:right="0" w:firstLine="490"/>
        <w:jc w:val="left"/>
        <w:rPr/>
      </w:pPr>
      <w:r>
        <w:rPr/>
        <w:t> </w:t>
      </w:r>
    </w:p>
    <w:p>
      <w:pPr>
        <w:pStyle w:val="TextBody"/>
        <w:bidi w:val="0"/>
        <w:ind w:left="0" w:right="0" w:firstLine="49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1831"/>
        <w:gridCol w:w="146"/>
        <w:gridCol w:w="316"/>
        <w:gridCol w:w="146"/>
        <w:gridCol w:w="2221"/>
        <w:gridCol w:w="146"/>
        <w:gridCol w:w="36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Small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ind w:left="0" w:right="0" w:firstLine="490"/>
        <w:jc w:val="left"/>
        <w:rPr/>
      </w:pPr>
      <w:r>
        <w:rPr/>
        <w:t> </w:t>
      </w:r>
    </w:p>
    <w:p>
      <w:pPr>
        <w:pStyle w:val="TextBody"/>
        <w:bidi w:val="0"/>
        <w:ind w:left="0" w:right="0" w:firstLine="490"/>
        <w:jc w:val="left"/>
        <w:rPr>
          <w:rFonts w:ascii="Calibri;sans-serif" w:hAnsi="Calibri;sans-serif"/>
          <w:b w:val="false"/>
          <w:color w:val="000000"/>
          <w:sz w:val="20"/>
        </w:rPr>
      </w:pPr>
      <w:r>
        <w:rPr>
          <w:rFonts w:ascii="Calibri;sans-serif" w:hAnsi="Calibr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ind w:left="0" w:right="0" w:firstLine="490"/>
        <w:jc w:val="left"/>
        <w:rPr>
          <w:rFonts w:ascii="Times New Roman" w:hAnsi="Times New Roman"/>
          <w:sz w:val="20"/>
        </w:rPr>
      </w:pPr>
      <w:r>
        <w:rPr>
          <w:rFonts w:ascii="Calibri;sans-serif" w:hAnsi="Calibri;sans-serif"/>
          <w:b w:val="false"/>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ind w:left="0" w:right="0" w:firstLine="490"/>
        <w:jc w:val="left"/>
        <w:rPr>
          <w:rFonts w:ascii="Times New Roman" w:hAnsi="Times New Roman"/>
          <w:sz w:val="20"/>
        </w:rPr>
      </w:pPr>
      <w:r>
        <w:rPr>
          <w:rFonts w:ascii="Calibri;sans-serif" w:hAnsi="Calibri;sans-serif"/>
          <w:b w:val="false"/>
          <w:color w:val="000000"/>
          <w:sz w:val="20"/>
        </w:rPr>
        <w:t>As of November 2, 2023, the registrant had 96,270,157</w:t>
      </w:r>
      <w:r>
        <w:rPr>
          <w:rFonts w:ascii="Times New Roman" w:hAnsi="Times New Roman"/>
          <w:color w:val="000000"/>
          <w:sz w:val="20"/>
        </w:rPr>
        <w:t xml:space="preserve"> </w:t>
      </w:r>
      <w:r>
        <w:rPr>
          <w:rFonts w:ascii="Calibri;sans-serif" w:hAnsi="Calibri;sans-serif"/>
          <w:b w:val="false"/>
          <w:color w:val="000000"/>
          <w:sz w:val="20"/>
        </w:rPr>
        <w:t>shares of Class A common stock, $0.001 par value per share, and 15,999,173</w:t>
      </w:r>
      <w:r>
        <w:rPr>
          <w:rFonts w:ascii="Times New Roman" w:hAnsi="Times New Roman"/>
          <w:color w:val="000000"/>
          <w:sz w:val="20"/>
        </w:rPr>
        <w:t xml:space="preserve"> </w:t>
      </w:r>
      <w:r>
        <w:rPr>
          <w:rFonts w:ascii="Calibri;sans-serif" w:hAnsi="Calibri;sans-serif"/>
          <w:b w:val="false"/>
          <w:color w:val="000000"/>
          <w:sz w:val="20"/>
        </w:rPr>
        <w:t>shares of Class B common stock, par value $0.001 per share, outstanding.</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8801"/>
        <w:gridCol w:w="482"/>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ind w:left="0" w:right="0" w:firstLine="90"/>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PART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Calibri;sans-serif" w:hAnsi="Calibri;sans-serif"/>
                  <w:b/>
                  <w:color w:val="0000FF"/>
                  <w:sz w:val="20"/>
                  <w:u w:val="single"/>
                </w:rPr>
                <w:t>FINANCIAL INFORMATION</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Item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Calibri;sans-serif" w:hAnsi="Calibri;sans-serif"/>
                  <w:b w:val="false"/>
                  <w:color w:val="0000FF"/>
                  <w:sz w:val="20"/>
                  <w:u w:val="single"/>
                </w:rPr>
                <w:t>Financial Statements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b w:val="false"/>
                <w:color w:val="000000"/>
                <w:sz w:val="20"/>
              </w:rPr>
            </w:pPr>
            <w:r>
              <w:rPr>
                <w:rFonts w:ascii="Calibri;sans-serif" w:hAnsi="Calibri;sans-serif"/>
                <w:b w:val="false"/>
                <w:color w:val="000000"/>
                <w:sz w:val="20"/>
              </w:rPr>
              <w:t>1</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consolidated_balance">
              <w:r>
                <w:rPr>
                  <w:rStyle w:val="InternetLink"/>
                  <w:rFonts w:ascii="Calibri;sans-serif" w:hAnsi="Calibri;sans-serif"/>
                  <w:b w:val="false"/>
                  <w:color w:val="0000FF"/>
                  <w:sz w:val="20"/>
                  <w:u w:val="single"/>
                </w:rPr>
                <w:t>Unaudited Condensed Consolidated Balance Sheets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b w:val="false"/>
                <w:color w:val="000000"/>
                <w:sz w:val="20"/>
              </w:rPr>
            </w:pPr>
            <w:r>
              <w:rPr>
                <w:rFonts w:ascii="Calibri;sans-serif" w:hAnsi="Calibri;sans-serif"/>
                <w:b w:val="false"/>
                <w:color w:val="000000"/>
                <w:sz w:val="20"/>
              </w:rPr>
              <w:t>1</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Calibri;sans-serif" w:hAnsi="Calibri;sans-serif"/>
                  <w:b w:val="false"/>
                  <w:color w:val="0000FF"/>
                  <w:sz w:val="20"/>
                  <w:u w:val="single"/>
                </w:rPr>
                <w:t>Unaudited Condensed Consolidated Income Statements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b w:val="false"/>
                <w:color w:val="000000"/>
                <w:sz w:val="20"/>
              </w:rPr>
            </w:pPr>
            <w:r>
              <w:rPr>
                <w:rFonts w:ascii="Calibri;sans-serif" w:hAnsi="Calibri;sans-serif"/>
                <w:b w:val="false"/>
                <w:color w:val="000000"/>
                <w:sz w:val="20"/>
              </w:rPr>
              <w:t>2</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90" w:right="0" w:firstLine="9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Calibri;sans-serif" w:hAnsi="Calibri;sans-serif"/>
                  <w:b w:val="false"/>
                  <w:color w:val="0000FF"/>
                  <w:sz w:val="20"/>
                  <w:u w:val="single"/>
                </w:rPr>
                <w:t>Unaudited Condensed Consolidated Statements of Comprehensive Income</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b w:val="false"/>
                <w:color w:val="000000"/>
                <w:sz w:val="20"/>
              </w:rPr>
            </w:pPr>
            <w:r>
              <w:rPr>
                <w:rFonts w:ascii="Calibri;sans-serif" w:hAnsi="Calibri;sans-serif"/>
                <w:b w:val="false"/>
                <w:color w:val="000000"/>
                <w:sz w:val="20"/>
              </w:rPr>
              <w:t>3</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Calibri;sans-serif" w:hAnsi="Calibri;sans-serif"/>
                  <w:b w:val="false"/>
                  <w:color w:val="0000FF"/>
                  <w:sz w:val="20"/>
                  <w:u w:val="single"/>
                </w:rPr>
                <w:t>Unaudited Condensed Consolidated Statements of Redeemable Noncontrolling Interest and Stockholders’ Equity</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b w:val="false"/>
                <w:color w:val="000000"/>
                <w:sz w:val="20"/>
              </w:rPr>
            </w:pPr>
            <w:r>
              <w:rPr>
                <w:rFonts w:ascii="Calibri;sans-serif" w:hAnsi="Calibri;sans-serif"/>
                <w:b w:val="false"/>
                <w:color w:val="000000"/>
                <w:sz w:val="20"/>
              </w:rPr>
              <w:t>4</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90" w:right="0" w:firstLine="9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Calibri;sans-serif" w:hAnsi="Calibri;sans-serif"/>
                  <w:b w:val="false"/>
                  <w:color w:val="0000FF"/>
                  <w:sz w:val="20"/>
                  <w:u w:val="single"/>
                </w:rPr>
                <w:t>Unaudited Condensed Consolidated Statements of Cash Flows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b w:val="false"/>
                <w:color w:val="000000"/>
                <w:sz w:val="20"/>
              </w:rPr>
            </w:pPr>
            <w:r>
              <w:rPr>
                <w:rFonts w:ascii="Calibri;sans-serif" w:hAnsi="Calibri;sans-serif"/>
                <w:b w:val="false"/>
                <w:color w:val="000000"/>
                <w:sz w:val="20"/>
              </w:rPr>
              <w:t>5</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Calibri;sans-serif" w:hAnsi="Calibri;sans-serif"/>
                  <w:b w:val="false"/>
                  <w:color w:val="0000FF"/>
                  <w:sz w:val="20"/>
                  <w:u w:val="single"/>
                </w:rPr>
                <w:t>Notes to Unaudited Condensed Consolidated Financial Statements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Item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Calibri;sans-serif" w:hAnsi="Calibri;sans-serif"/>
                  <w:b w:val="false"/>
                  <w:color w:val="0000FF"/>
                  <w:sz w:val="20"/>
                  <w:u w:val="single"/>
                </w:rPr>
                <w:t>Management’s Discussion and Analysis of Financial Condition and Results of Operations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Item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Calibri;sans-serif" w:hAnsi="Calibri;sans-serif"/>
                  <w:b w:val="false"/>
                  <w:color w:val="0000FF"/>
                  <w:sz w:val="20"/>
                  <w:u w:val="single"/>
                </w:rPr>
                <w:t>Quantitative and Qualitative Disclosures About Market Risk</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50</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Item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Calibri;sans-serif" w:hAnsi="Calibri;sans-serif"/>
                  <w:b w:val="false"/>
                  <w:color w:val="0000FF"/>
                  <w:sz w:val="20"/>
                  <w:u w:val="single"/>
                </w:rPr>
                <w:t>Controls and Procedures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51</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PART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Calibri;sans-serif" w:hAnsi="Calibri;sans-serif"/>
                  <w:b/>
                  <w:color w:val="0000FF"/>
                  <w:sz w:val="20"/>
                  <w:u w:val="single"/>
                </w:rPr>
                <w:t>OTHER INFORMATION</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Item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Calibri;sans-serif" w:hAnsi="Calibri;sans-serif"/>
                  <w:b w:val="false"/>
                  <w:color w:val="0000FF"/>
                  <w:sz w:val="20"/>
                  <w:u w:val="single"/>
                </w:rPr>
                <w:t>Legal Proceedings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Item 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Calibri;sans-serif" w:hAnsi="Calibri;sans-serif"/>
                  <w:b w:val="false"/>
                  <w:color w:val="0000FF"/>
                  <w:sz w:val="20"/>
                  <w:u w:val="single"/>
                </w:rPr>
                <w:t>Risk Factors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55</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Item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_sale_securities">
              <w:r>
                <w:rPr>
                  <w:rStyle w:val="InternetLink"/>
                  <w:rFonts w:ascii="Calibri;sans-serif" w:hAnsi="Calibri;sans-serif"/>
                  <w:b w:val="false"/>
                  <w:color w:val="0000FF"/>
                  <w:sz w:val="20"/>
                  <w:u w:val="single"/>
                </w:rPr>
                <w:t>Unregistered Sales of Equity Securities, Use of Proceeds, and Issuer Purchases of Equity Securities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70</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Item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Calibri;sans-serif" w:hAnsi="Calibri;sans-serif"/>
                  <w:b w:val="false"/>
                  <w:color w:val="0000FF"/>
                  <w:sz w:val="20"/>
                  <w:u w:val="single"/>
                </w:rPr>
                <w:t>Exhibits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71</w:t>
            </w:r>
          </w:p>
        </w:tc>
      </w:tr>
      <w:tr>
        <w:trPr/>
        <w:tc>
          <w:tcPr>
            <w:tcW w:w="972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Calibri;sans-serif" w:hAnsi="Calibri;sans-serif"/>
                  <w:b w:val="false"/>
                  <w:color w:val="0000FF"/>
                  <w:sz w:val="20"/>
                  <w:u w:val="single"/>
                </w:rPr>
                <w:t>Signatures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72</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Calibri;sans-serif" w:hAnsi="Calibri;sans-serif"/>
          <w:b w:val="false"/>
          <w:color w:val="000000"/>
          <w:sz w:val="20"/>
        </w:rPr>
      </w:pPr>
      <w:r>
        <w:rPr>
          <w:rFonts w:ascii="Calibri;sans-serif" w:hAnsi="Calibri;sans-serif"/>
          <w:b w:val="false"/>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SPECIAL NOTE REGARDING FORWARD</w:t>
        <w:noBreakHyphen/>
        <w:t>LOOKING STATEMENTS</w:t>
      </w:r>
    </w:p>
    <w:p>
      <w:pPr>
        <w:pStyle w:val="TextBody"/>
        <w:bidi w:val="0"/>
        <w:spacing w:before="12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This Quarterly Report on Form 10-Q, or Quarterly Report, contains forward</w:t>
        <w:noBreakHyphen/>
        <w:t>looking statements within the meaning of the federal securities laws, which statements involve substantial risks and uncertainties. Forward</w:t>
        <w:noBreakHyphen/>
        <w:t>looking statements generally relate to future events or our future financial or operating performance. In some cases, you can identify forward</w:t>
        <w:noBreakHyphen/>
        <w:t>looking statements because they contain words such as “aim,” “anticipates,” “believes,” “could,” “estimates,” “expects,” “goal,” “intends,” “may,” “might,” “plans,” “potential,” “predicts,” “projects,” “seeks,” “should,” “target,” “will,” “would,” or similar expressions and the negatives of those terms. Forward-looking statements contained in this Quarterly Report include, but are not limited to, statements about:</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 xml:space="preserve">our future financial performance, including our expectations regarding our revenue, cost of revenue, gross profit or gross margin, operating expenses, ability to generate cash flow, and ability to achieve, and maintain, future profitability;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 xml:space="preserve">our growth strategies and our ability to effectively manage any growth;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the value proposition of our product offerings for dealers and consumers, and the return on investment that our dealers realize from our products;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evolution to becoming a transaction-enabled platform where consumers can shop, buy, seek financing, and sell their cars and dealers can source, market, and sell their vehicles;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ability to realize benefits from our acquisitions and successfully implement the integration strategies in connection therewith;</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the anticipated completion of the proposed acquisition of the additional equity interests in CarOffer, LLC, or CarOffer;</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the value proposition of the CarOffer online wholesale platform;</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expectations for CarGurus Instant Max Cash Offer, as well as our digital retail offerings and continued investments;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 xml:space="preserve">the impact of competition in our industry and innovation by our competitors;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ability to overcome challenges facing the automotive industry ecosystem, including inventory supply problems, global supply chain challenges, changes to trade policies, and other macroeconomic issues;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expectations regarding cash generation and the sufficiency of our cash to fund our operations;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domestic and global economic conditions;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 xml:space="preserve">our ability to hire and retain necessary qualified employees to expand our operations;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 xml:space="preserve">our ability to adequately protect our intellectual property;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expected returns on investments;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expectations regarding our deferred tax assets;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expectations regarding the funding of our share repurchase program;</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revolving credit facility;</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the material weakness in our internal control over financial reporting that we have identified, and our ability to remediate such weakness and enhance our internal control environment;</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ability to maintain an effective system of internal controls necessary to accurately report our financial results and prevent fraud;</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the impact of accounting pronouncements;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our ability to stay abreast of, and effectively comply with, new or modified laws and regulations that currently apply or become applicable to our business and our beliefs regarding our compliance therewith;</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the impact of litigation; and</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Calibri;sans-serif" w:hAnsi="Calibri;sans-serif"/>
          <w:b w:val="false"/>
          <w:color w:val="000000"/>
          <w:sz w:val="20"/>
        </w:rPr>
      </w:pPr>
      <w:r>
        <w:rPr>
          <w:rFonts w:ascii="Calibri;sans-serif" w:hAnsi="Calibri;sans-serif"/>
          <w:b w:val="false"/>
          <w:color w:val="000000"/>
          <w:sz w:val="20"/>
        </w:rPr>
        <w:t>the future trading prices of our Class A common stock.</w:t>
      </w:r>
    </w:p>
    <w:p>
      <w:pPr>
        <w:pStyle w:val="TextBody"/>
        <w:bidi w:val="0"/>
        <w:spacing w:before="240" w:after="283"/>
        <w:jc w:val="center"/>
        <w:rPr>
          <w:rFonts w:ascii="Calibri;sans-serif" w:hAnsi="Calibri;sans-serif"/>
          <w:b w:val="false"/>
          <w:color w:val="000000"/>
          <w:sz w:val="20"/>
        </w:rPr>
      </w:pPr>
      <w:r>
        <w:rPr>
          <w:rFonts w:ascii="Calibri;sans-serif" w:hAnsi="Calibri;sans-serif"/>
          <w:b w:val="false"/>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You should not rely upon forward</w:t>
        <w:noBreakHyphen/>
        <w:t>looking statements as predictions of future events. We have based the forward</w:t>
        <w:noBreakHyphen/>
        <w:t>looking statements contained in this Quarterly Report primarily on our current expectations and projections about future events and trends that we believe may affect our business, financial condition, operating results, and growth prospects. The outcome of the events described in these forward</w:t>
        <w:noBreakHyphen/>
        <w:t>looking statements is subject to risks, uncertainties, and other factors, including those that are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w:t>
        <w:noBreakHyphen/>
        <w:t>looking statements contained in this Quarterly Report. Further, our forward</w:t>
        <w:noBreakHyphen/>
        <w:t>looking statements do not reflect the potential impact of any future acquisitions, mergers, dispositions, or joint ventures in which we may be involved, or investments we may make. We cannot assure you that the results, events, and circumstances reflected in the forward</w:t>
        <w:noBreakHyphen/>
        <w:t>looking statements will be achieved or occur, and actual results, events, or circumstances could differ materially from those described in the forward</w:t>
        <w:noBreakHyphen/>
        <w:t>looking statements.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forward</w:t>
        <w:noBreakHyphen/>
        <w:t>looking statements made in this Quarterly Report speak only as of the date of this Quarterly Report. We undertake no obligation to update any forward</w:t>
        <w:noBreakHyphen/>
        <w:t>looking statement made in this Quarterly Report to reflect events or circumstances after the date of this Quarterly Report or to reflect new information or the occurrence of unanticipated events, except as required by law.</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NOTE REGARDING TRADEMARKS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CarGurus® is a registered trademark of CarGurus, Inc., and CarOffer® is a registered trademark of CarOffer, LLC. All other product names, trademarks, and registered trademarks are property of their respective owners.</w:t>
      </w:r>
    </w:p>
    <w:p>
      <w:pPr>
        <w:pStyle w:val="TextBody"/>
        <w:bidi w:val="0"/>
        <w:spacing w:before="240" w:after="283"/>
        <w:ind w:left="0" w:right="0" w:firstLine="490"/>
        <w:jc w:val="both"/>
        <w:rPr/>
      </w:pPr>
      <w:r>
        <w:rPr/>
        <w:t> </w:t>
      </w:r>
    </w:p>
    <w:p>
      <w:pPr>
        <w:pStyle w:val="TextBody"/>
        <w:bidi w:val="0"/>
        <w:spacing w:before="240" w:after="283"/>
        <w:jc w:val="center"/>
        <w:rPr>
          <w:rFonts w:ascii="Calibri;sans-serif" w:hAnsi="Calibri;sans-serif"/>
          <w:b w:val="false"/>
          <w:color w:val="000000"/>
          <w:sz w:val="20"/>
        </w:rPr>
      </w:pPr>
      <w:r>
        <w:rPr>
          <w:rFonts w:ascii="Calibri;sans-serif" w:hAnsi="Calibri;sans-serif"/>
          <w:b w:val="false"/>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 w:name="part_ifinancial_information"/>
      <w:bookmarkEnd w:id="2"/>
      <w:r>
        <w:rPr>
          <w:rFonts w:ascii="Calibri;sans-serif" w:hAnsi="Calibri;sans-serif"/>
          <w:b/>
          <w:color w:val="000000"/>
          <w:sz w:val="20"/>
        </w:rPr>
        <w:t>PART I—FINANCIAL INFORMATION</w:t>
      </w:r>
    </w:p>
    <w:p>
      <w:pPr>
        <w:pStyle w:val="TextBody"/>
        <w:bidi w:val="0"/>
        <w:spacing w:before="120" w:after="283"/>
        <w:jc w:val="left"/>
        <w:rPr>
          <w:rFonts w:ascii="Calibri;sans-serif" w:hAnsi="Calibri;sans-serif"/>
          <w:b/>
          <w:color w:val="000000"/>
          <w:sz w:val="20"/>
        </w:rPr>
      </w:pPr>
      <w:bookmarkStart w:id="3" w:name="item_1_financial_statements"/>
      <w:bookmarkEnd w:id="3"/>
      <w:r>
        <w:rPr>
          <w:rFonts w:ascii="Calibri;sans-serif" w:hAnsi="Calibri;sans-serif"/>
          <w:b/>
          <w:color w:val="000000"/>
          <w:sz w:val="20"/>
        </w:rPr>
        <w:t>Item 1. Financial Statements.</w:t>
      </w:r>
    </w:p>
    <w:p>
      <w:pPr>
        <w:pStyle w:val="TextBody"/>
        <w:bidi w:val="0"/>
        <w:jc w:val="center"/>
        <w:rPr>
          <w:rFonts w:ascii="Calibri;sans-serif" w:hAnsi="Calibri;sans-serif"/>
          <w:b/>
          <w:color w:val="000000"/>
          <w:sz w:val="20"/>
        </w:rPr>
      </w:pPr>
      <w:r>
        <w:rPr>
          <w:rFonts w:ascii="Calibri;sans-serif" w:hAnsi="Calibri;sans-serif"/>
          <w:b/>
          <w:color w:val="000000"/>
          <w:sz w:val="20"/>
        </w:rPr>
        <w:t>CarGurus, Inc.</w:t>
      </w:r>
    </w:p>
    <w:p>
      <w:pPr>
        <w:pStyle w:val="TextBody"/>
        <w:bidi w:val="0"/>
        <w:spacing w:before="120" w:after="283"/>
        <w:jc w:val="center"/>
        <w:rPr>
          <w:rFonts w:ascii="Times New Roman" w:hAnsi="Times New Roman"/>
          <w:sz w:val="20"/>
        </w:rPr>
      </w:pPr>
      <w:bookmarkStart w:id="4" w:name="unaudited_condensed_consolidated_balance"/>
      <w:bookmarkEnd w:id="4"/>
      <w:r>
        <w:rPr>
          <w:rFonts w:ascii="Calibri;sans-serif" w:hAnsi="Calibri;sans-serif"/>
          <w:b/>
          <w:color w:val="000000"/>
          <w:sz w:val="20"/>
        </w:rPr>
        <w:t>Unaudited Condensed Consolidated Balance Sheets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Calibri;sans-serif" w:hAnsi="Calibri;sans-serif"/>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8850" w:type="dxa"/>
        <w:jc w:val="left"/>
        <w:tblInd w:w="0" w:type="dxa"/>
        <w:tblLayout w:type="fixed"/>
        <w:tblCellMar>
          <w:top w:w="28" w:type="dxa"/>
          <w:left w:w="28" w:type="dxa"/>
          <w:bottom w:w="28" w:type="dxa"/>
          <w:right w:w="28" w:type="dxa"/>
        </w:tblCellMar>
      </w:tblPr>
      <w:tblGrid>
        <w:gridCol w:w="5766"/>
        <w:gridCol w:w="146"/>
        <w:gridCol w:w="218"/>
        <w:gridCol w:w="922"/>
        <w:gridCol w:w="166"/>
        <w:gridCol w:w="146"/>
        <w:gridCol w:w="242"/>
        <w:gridCol w:w="853"/>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922"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355,330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469,517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91,824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Accounts receivable, net of allowance for doubtful accounts of $823</w:t>
              <w:br/>
              <w:t>   and $1,809, respectively</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46,107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46,817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5,282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Prepaid expenses, prepaid income taxes and other current assets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19,696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21,972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10,465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8,541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Restricted cash</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5,237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535,369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557,366</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54,700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40,128</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30,481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53,054</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157,267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157,467</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183,774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56,869</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Restricted cash</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9,378</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Deferred tax assets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67,623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35,488</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Deferred contract costs, net of current portion</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8,853</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Other non-current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7,546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8,499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1,048,725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927,102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Liabilities, redeemable noncontrolling interest and stockholders’ equity</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37,481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32,529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Accrued expenses, accrued income taxes and other current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36,908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39,193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Deferred revenue</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21,043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12,249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13,206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14,762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108,638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98,733</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192,111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51,656</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Deferred tax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54</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5,301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305,195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155,744</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Commitments and contingencies (Note 8)</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Redeemable noncontrolling interest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26,536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36,749</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b w:val="false"/>
                <w:color w:val="000000"/>
                <w:sz w:val="18"/>
              </w:rPr>
              <w:t>Preferred stock, $0.001</w:t>
            </w:r>
            <w:r>
              <w:rPr>
                <w:rFonts w:ascii="Times New Roman" w:hAnsi="Times New Roman"/>
                <w:color w:val="000000"/>
                <w:sz w:val="20"/>
              </w:rPr>
              <w:t> </w:t>
            </w:r>
            <w:r>
              <w:rPr>
                <w:rFonts w:ascii="Calibri;sans-serif" w:hAnsi="Calibri;sans-serif"/>
                <w:b w:val="false"/>
                <w:color w:val="000000"/>
                <w:sz w:val="18"/>
              </w:rPr>
              <w:t>par value per share; 10,000,000</w:t>
            </w:r>
            <w:r>
              <w:rPr>
                <w:rFonts w:ascii="Times New Roman" w:hAnsi="Times New Roman"/>
                <w:color w:val="000000"/>
                <w:sz w:val="20"/>
              </w:rPr>
              <w:t> </w:t>
            </w:r>
            <w:r>
              <w:rPr>
                <w:rFonts w:ascii="Calibri;sans-serif" w:hAnsi="Calibri;sans-serif"/>
                <w:b w:val="false"/>
                <w:color w:val="000000"/>
                <w:sz w:val="18"/>
              </w:rPr>
              <w:t>shares authorized;</w:t>
              <w:br/>
              <w:t>   no</w:t>
            </w:r>
            <w:r>
              <w:rPr>
                <w:rFonts w:ascii="Times New Roman" w:hAnsi="Times New Roman"/>
                <w:color w:val="000000"/>
                <w:sz w:val="20"/>
              </w:rPr>
              <w:t> </w:t>
            </w:r>
            <w:r>
              <w:rPr>
                <w:rFonts w:ascii="Calibri;sans-serif" w:hAnsi="Calibri;sans-serif"/>
                <w:b w:val="false"/>
                <w:color w:val="000000"/>
                <w:sz w:val="18"/>
              </w:rPr>
              <w:t>shares issued and outstanding</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b w:val="false"/>
                <w:color w:val="000000"/>
                <w:sz w:val="18"/>
              </w:rPr>
              <w:t>Class A common stock, $0.001</w:t>
            </w:r>
            <w:r>
              <w:rPr>
                <w:rFonts w:ascii="Times New Roman" w:hAnsi="Times New Roman"/>
                <w:color w:val="000000"/>
                <w:sz w:val="20"/>
              </w:rPr>
              <w:t> </w:t>
            </w:r>
            <w:r>
              <w:rPr>
                <w:rFonts w:ascii="Calibri;sans-serif" w:hAnsi="Calibri;sans-serif"/>
                <w:b w:val="false"/>
                <w:color w:val="000000"/>
                <w:sz w:val="18"/>
              </w:rPr>
              <w:t>par value per share; 500,000,000</w:t>
            </w:r>
            <w:r>
              <w:rPr>
                <w:rFonts w:ascii="Times New Roman" w:hAnsi="Times New Roman"/>
                <w:color w:val="000000"/>
                <w:sz w:val="20"/>
              </w:rPr>
              <w:t> </w:t>
            </w:r>
            <w:r>
              <w:rPr>
                <w:rFonts w:ascii="Calibri;sans-serif" w:hAnsi="Calibri;sans-serif"/>
                <w:b w:val="false"/>
                <w:color w:val="000000"/>
                <w:sz w:val="18"/>
              </w:rPr>
              <w:t>shares</w:t>
              <w:br/>
              <w:t>   authorized; 96,877,765</w:t>
            </w:r>
            <w:r>
              <w:rPr>
                <w:rFonts w:ascii="Times New Roman" w:hAnsi="Times New Roman"/>
                <w:color w:val="000000"/>
                <w:sz w:val="20"/>
              </w:rPr>
              <w:t> </w:t>
            </w:r>
            <w:r>
              <w:rPr>
                <w:rFonts w:ascii="Calibri;sans-serif" w:hAnsi="Calibri;sans-serif"/>
                <w:b w:val="false"/>
                <w:color w:val="000000"/>
                <w:sz w:val="18"/>
              </w:rPr>
              <w:t>and 101,636,649</w:t>
            </w:r>
            <w:r>
              <w:rPr>
                <w:rFonts w:ascii="Times New Roman" w:hAnsi="Times New Roman"/>
                <w:color w:val="000000"/>
                <w:sz w:val="20"/>
              </w:rPr>
              <w:t> </w:t>
            </w:r>
            <w:r>
              <w:rPr>
                <w:rFonts w:ascii="Calibri;sans-serif" w:hAnsi="Calibri;sans-serif"/>
                <w:b w:val="false"/>
                <w:color w:val="000000"/>
                <w:sz w:val="18"/>
              </w:rPr>
              <w:t>shares issued and outstanding</w:t>
              <w:br/>
              <w:t>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102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b w:val="false"/>
                <w:color w:val="000000"/>
                <w:sz w:val="18"/>
              </w:rPr>
              <w:t>Class B common stock, $0.001</w:t>
            </w:r>
            <w:r>
              <w:rPr>
                <w:rFonts w:ascii="Times New Roman" w:hAnsi="Times New Roman"/>
                <w:color w:val="000000"/>
                <w:sz w:val="20"/>
              </w:rPr>
              <w:t> </w:t>
            </w:r>
            <w:r>
              <w:rPr>
                <w:rFonts w:ascii="Calibri;sans-serif" w:hAnsi="Calibri;sans-serif"/>
                <w:b w:val="false"/>
                <w:color w:val="000000"/>
                <w:sz w:val="18"/>
              </w:rPr>
              <w:t>par value per share; 100,000,000</w:t>
            </w:r>
            <w:r>
              <w:rPr>
                <w:rFonts w:ascii="Times New Roman" w:hAnsi="Times New Roman"/>
                <w:color w:val="000000"/>
                <w:sz w:val="20"/>
              </w:rPr>
              <w:t> </w:t>
            </w:r>
            <w:r>
              <w:rPr>
                <w:rFonts w:ascii="Calibri;sans-serif" w:hAnsi="Calibri;sans-serif"/>
                <w:b w:val="false"/>
                <w:color w:val="000000"/>
                <w:sz w:val="18"/>
              </w:rPr>
              <w:t>shares</w:t>
              <w:br/>
              <w:t>   authorized; 15,999,173</w:t>
            </w:r>
            <w:r>
              <w:rPr>
                <w:rFonts w:ascii="Times New Roman" w:hAnsi="Times New Roman"/>
                <w:color w:val="000000"/>
                <w:sz w:val="20"/>
              </w:rPr>
              <w:t> </w:t>
            </w:r>
            <w:r>
              <w:rPr>
                <w:rFonts w:ascii="Calibri;sans-serif" w:hAnsi="Calibri;sans-serif"/>
                <w:b w:val="false"/>
                <w:color w:val="000000"/>
                <w:sz w:val="18"/>
              </w:rPr>
              <w:t>and 15,999,173</w:t>
            </w:r>
            <w:r>
              <w:rPr>
                <w:rFonts w:ascii="Times New Roman" w:hAnsi="Times New Roman"/>
                <w:color w:val="000000"/>
                <w:sz w:val="20"/>
              </w:rPr>
              <w:t> </w:t>
            </w:r>
            <w:r>
              <w:rPr>
                <w:rFonts w:ascii="Calibri;sans-serif" w:hAnsi="Calibri;sans-serif"/>
                <w:b w:val="false"/>
                <w:color w:val="000000"/>
                <w:sz w:val="18"/>
              </w:rPr>
              <w:t>shares issued and outstanding</w:t>
              <w:br/>
              <w:t>   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341,110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413,092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Retained earnings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377,890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323,043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(1,644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r>
      <w:tr>
        <w:trPr/>
        <w:tc>
          <w:tcPr>
            <w:tcW w:w="576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716,994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734,609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Total liabilities, redeemable noncontrolling interest and stockholders’ equity</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1,048,725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927,102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Calibri;sans-serif" w:hAnsi="Calibri;sans-serif"/>
          <w:b w:val="false"/>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Calibri;sans-serif" w:hAnsi="Calibri;sans-serif"/>
          <w:b w:val="false"/>
          <w:color w:val="000000"/>
          <w:sz w:val="20"/>
        </w:rPr>
      </w:pPr>
      <w:r>
        <w:rPr>
          <w:rFonts w:ascii="Calibri;sans-serif" w:hAnsi="Calibri;sans-serif"/>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CarGurus, Inc.</w:t>
      </w:r>
      <w:r>
        <w:rPr>
          <w:rFonts w:ascii="Times New Roman" w:hAnsi="Times New Roman"/>
          <w:color w:val="000000"/>
          <w:sz w:val="20"/>
        </w:rPr>
        <w:t xml:space="preserve"> </w:t>
      </w:r>
    </w:p>
    <w:p>
      <w:pPr>
        <w:pStyle w:val="TextBody"/>
        <w:bidi w:val="0"/>
        <w:spacing w:before="120" w:after="283"/>
        <w:jc w:val="center"/>
        <w:rPr>
          <w:rFonts w:ascii="Calibri;sans-serif" w:hAnsi="Calibri;sans-serif"/>
          <w:b/>
          <w:color w:val="000000"/>
          <w:sz w:val="20"/>
        </w:rPr>
      </w:pPr>
      <w:bookmarkStart w:id="5" w:name="consolidated_statements_operations"/>
      <w:bookmarkEnd w:id="5"/>
      <w:r>
        <w:rPr>
          <w:rFonts w:ascii="Calibri;sans-serif" w:hAnsi="Calibri;sans-serif"/>
          <w:b/>
          <w:color w:val="000000"/>
          <w:sz w:val="20"/>
        </w:rPr>
        <w:t>Unaudited Condensed Consolidated Income Statements</w:t>
      </w:r>
    </w:p>
    <w:p>
      <w:pPr>
        <w:pStyle w:val="TextBody"/>
        <w:bidi w:val="0"/>
        <w:spacing w:before="120" w:after="283"/>
        <w:jc w:val="center"/>
        <w:rPr>
          <w:rFonts w:ascii="Times New Roman" w:hAnsi="Times New Roman"/>
          <w:sz w:val="20"/>
        </w:rPr>
      </w:pPr>
      <w:r>
        <w:rPr>
          <w:rFonts w:ascii="Calibri;sans-serif" w:hAnsi="Calibri;sans-serif"/>
          <w:b/>
          <w:color w:val="000000"/>
          <w:sz w:val="20"/>
        </w:rPr>
        <w:t>(in thousands, except share and per share data)</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04"/>
        <w:gridCol w:w="146"/>
        <w:gridCol w:w="196"/>
        <w:gridCol w:w="1006"/>
        <w:gridCol w:w="166"/>
        <w:gridCol w:w="146"/>
        <w:gridCol w:w="196"/>
        <w:gridCol w:w="1006"/>
        <w:gridCol w:w="166"/>
        <w:gridCol w:w="146"/>
        <w:gridCol w:w="196"/>
        <w:gridCol w:w="1006"/>
        <w:gridCol w:w="166"/>
        <w:gridCol w:w="146"/>
        <w:gridCol w:w="196"/>
        <w:gridCol w:w="1006"/>
        <w:gridCol w:w="511"/>
      </w:tblGrid>
      <w:tr>
        <w:trPr/>
        <w:tc>
          <w:tcPr>
            <w:tcW w:w="3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8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 xml:space="preserve">Nine Months Ended </w:t>
              <w:br/>
              <w:t>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4"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80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Marketplace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177,909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165,309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515,986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492,524</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380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Wholesale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21,735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47,045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78,873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213,976</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80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Product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19,775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214,100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96,260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661,791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04" w:type="dxa"/>
            <w:tcBorders/>
            <w:shd w:fill="CFF0FC" w:val="clear"/>
            <w:vAlign w:val="center"/>
          </w:tcPr>
          <w:p>
            <w:pPr>
              <w:pStyle w:val="TableContents"/>
              <w:bidi w:val="0"/>
              <w:spacing w:before="0" w:after="283"/>
              <w:ind w:left="300" w:right="0" w:firstLine="300"/>
              <w:jc w:val="left"/>
              <w:rPr>
                <w:rFonts w:ascii="Calibri;sans-serif" w:hAnsi="Calibri;sans-serif"/>
                <w:b w:val="false"/>
                <w:color w:val="000000"/>
                <w:sz w:val="18"/>
              </w:rPr>
            </w:pPr>
            <w:r>
              <w:rPr>
                <w:rFonts w:ascii="Calibri;sans-serif" w:hAnsi="Calibri;sans-serif"/>
                <w:b w:val="false"/>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219,419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426,454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691,119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1,368,291</w:t>
            </w:r>
          </w:p>
        </w:tc>
        <w:tc>
          <w:tcPr>
            <w:tcW w:w="511" w:type="dxa"/>
            <w:tcBorders/>
            <w:shd w:fill="CFF0FC" w:val="clear"/>
            <w:vAlign w:val="center"/>
          </w:tcPr>
          <w:p>
            <w:pPr>
              <w:pStyle w:val="TableContents"/>
              <w:bidi w:val="0"/>
              <w:spacing w:before="0" w:after="283"/>
              <w:jc w:val="left"/>
              <w:rPr/>
            </w:pPr>
            <w:r>
              <w:rPr/>
              <w:t> </w:t>
            </w:r>
          </w:p>
        </w:tc>
      </w:tr>
      <w:tr>
        <w:trPr/>
        <w:tc>
          <w:tcPr>
            <w:tcW w:w="3804" w:type="dxa"/>
            <w:tcBorders/>
            <w:shd w:fill="FFFFFF" w:val="clear"/>
            <w:vAlign w:val="center"/>
          </w:tcPr>
          <w:p>
            <w:pPr>
              <w:pStyle w:val="TableContents"/>
              <w:bidi w:val="0"/>
              <w:spacing w:before="0" w:after="283"/>
              <w:jc w:val="left"/>
              <w:rPr>
                <w:rFonts w:ascii="Times New Roman" w:hAnsi="Times New Roman"/>
                <w:sz w:val="18"/>
              </w:rPr>
            </w:pPr>
            <w:r>
              <w:rPr>
                <w:rFonts w:ascii="Calibri;sans-serif" w:hAnsi="Calibri;sans-serif"/>
                <w:b w:val="false"/>
                <w:color w:val="000000"/>
                <w:sz w:val="18"/>
              </w:rPr>
              <w:t xml:space="preserve">Cost of revenue </w:t>
            </w:r>
            <w:r>
              <w:rPr>
                <w:rFonts w:ascii="Calibri;sans-serif" w:hAnsi="Calibri;sans-serif"/>
                <w:b w:val="false"/>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200"/>
              <w:jc w:val="right"/>
              <w:rPr/>
            </w:pPr>
            <w:r>
              <w:rPr/>
              <w:t> </w:t>
            </w:r>
          </w:p>
        </w:tc>
      </w:tr>
      <w:tr>
        <w:trPr/>
        <w:tc>
          <w:tcPr>
            <w:tcW w:w="380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Marketplace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14,823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14,956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45,830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40,422</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80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Wholesale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21,284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41,789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67,780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146,489</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380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Product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19,014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218,924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94,090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660,869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04" w:type="dxa"/>
            <w:tcBorders/>
            <w:shd w:fill="FFFFFF" w:val="clear"/>
            <w:vAlign w:val="center"/>
          </w:tcPr>
          <w:p>
            <w:pPr>
              <w:pStyle w:val="TableContents"/>
              <w:bidi w:val="0"/>
              <w:spacing w:before="0" w:after="283"/>
              <w:ind w:left="300" w:right="0" w:firstLine="300"/>
              <w:jc w:val="left"/>
              <w:rPr>
                <w:rFonts w:ascii="Calibri;sans-serif" w:hAnsi="Calibri;sans-serif"/>
                <w:b w:val="false"/>
                <w:color w:val="000000"/>
                <w:sz w:val="18"/>
              </w:rPr>
            </w:pPr>
            <w:r>
              <w:rPr>
                <w:rFonts w:ascii="Calibri;sans-serif" w:hAnsi="Calibri;sans-serif"/>
                <w:b w:val="false"/>
                <w:color w:val="000000"/>
                <w:sz w:val="18"/>
              </w:rPr>
              <w:t>Total cost of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55,121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275,669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207,700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847,780</w:t>
            </w:r>
          </w:p>
        </w:tc>
        <w:tc>
          <w:tcPr>
            <w:tcW w:w="511" w:type="dxa"/>
            <w:tcBorders/>
            <w:shd w:fill="FFFFFF" w:val="clear"/>
            <w:vAlign w:val="center"/>
          </w:tcPr>
          <w:p>
            <w:pPr>
              <w:pStyle w:val="TableContents"/>
              <w:bidi w:val="0"/>
              <w:spacing w:before="0" w:after="283"/>
              <w:jc w:val="left"/>
              <w:rPr/>
            </w:pPr>
            <w:r>
              <w:rPr/>
              <w:t> </w:t>
            </w:r>
          </w:p>
        </w:tc>
      </w:tr>
      <w:tr>
        <w:trPr/>
        <w:tc>
          <w:tcPr>
            <w:tcW w:w="3804"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164,298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150,785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483,419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520,511</w:t>
            </w:r>
          </w:p>
        </w:tc>
        <w:tc>
          <w:tcPr>
            <w:tcW w:w="511" w:type="dxa"/>
            <w:tcBorders/>
            <w:shd w:fill="CFF0FC" w:val="clear"/>
            <w:vAlign w:val="center"/>
          </w:tcPr>
          <w:p>
            <w:pPr>
              <w:pStyle w:val="TableContents"/>
              <w:bidi w:val="0"/>
              <w:spacing w:before="0" w:after="283"/>
              <w:jc w:val="left"/>
              <w:rPr/>
            </w:pPr>
            <w:r>
              <w:rPr/>
              <w:t> </w:t>
            </w:r>
          </w:p>
        </w:tc>
      </w:tr>
      <w:tr>
        <w:trPr/>
        <w:tc>
          <w:tcPr>
            <w:tcW w:w="3804"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200"/>
              <w:jc w:val="right"/>
              <w:rPr/>
            </w:pPr>
            <w:r>
              <w:rPr/>
              <w:t> </w:t>
            </w:r>
          </w:p>
        </w:tc>
      </w:tr>
      <w:tr>
        <w:trPr/>
        <w:tc>
          <w:tcPr>
            <w:tcW w:w="380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76,828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83,319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230,243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266,505</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80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Product, technology,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35,434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30,208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109,432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92,215</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380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24,904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77,090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71,395</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80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11,539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04" w:type="dxa"/>
            <w:tcBorders/>
            <w:shd w:fill="CFF0FC" w:val="clear"/>
            <w:vAlign w:val="center"/>
          </w:tcPr>
          <w:p>
            <w:pPr>
              <w:pStyle w:val="TableContents"/>
              <w:bidi w:val="0"/>
              <w:spacing w:before="0" w:after="283"/>
              <w:ind w:left="300" w:right="0" w:firstLine="300"/>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141,203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122,129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428,527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441,654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Income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23,095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28,656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54,892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78,857</w:t>
            </w:r>
          </w:p>
        </w:tc>
        <w:tc>
          <w:tcPr>
            <w:tcW w:w="511" w:type="dxa"/>
            <w:tcBorders/>
            <w:shd w:fill="FFFFFF" w:val="clear"/>
            <w:vAlign w:val="center"/>
          </w:tcPr>
          <w:p>
            <w:pPr>
              <w:pStyle w:val="TableContents"/>
              <w:bidi w:val="0"/>
              <w:spacing w:before="0" w:after="283"/>
              <w:jc w:val="left"/>
              <w:rPr/>
            </w:pPr>
            <w:r>
              <w:rPr/>
              <w:t> </w:t>
            </w:r>
          </w:p>
        </w:tc>
      </w:tr>
      <w:tr>
        <w:trPr/>
        <w:tc>
          <w:tcPr>
            <w:tcW w:w="3804"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Other income (expense), net:</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380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13,337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1,506</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380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18"/>
              </w:rPr>
            </w:pPr>
            <w:r>
              <w:rPr>
                <w:rFonts w:ascii="Calibri;sans-serif" w:hAnsi="Calibri;sans-serif"/>
                <w:b w:val="false"/>
                <w:color w:val="000000"/>
                <w:sz w:val="18"/>
              </w:rPr>
              <w:t>Other expense,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(1,581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Calibri;sans-serif" w:hAnsi="Calibri;sans-serif"/>
                <w:b w:val="false"/>
                <w:color w:val="000000"/>
                <w:sz w:val="18"/>
              </w:rPr>
            </w:pPr>
            <w:r>
              <w:rPr>
                <w:rFonts w:ascii="Calibri;sans-serif" w:hAnsi="Calibri;sans-serif"/>
                <w:b w:val="false"/>
                <w:color w:val="000000"/>
                <w:sz w:val="18"/>
              </w:rPr>
              <w:t>)</w:t>
            </w:r>
          </w:p>
        </w:tc>
      </w:tr>
      <w:tr>
        <w:trPr/>
        <w:tc>
          <w:tcPr>
            <w:tcW w:w="3804" w:type="dxa"/>
            <w:tcBorders/>
            <w:shd w:fill="FFFFFF" w:val="clear"/>
            <w:vAlign w:val="center"/>
          </w:tcPr>
          <w:p>
            <w:pPr>
              <w:pStyle w:val="TableContents"/>
              <w:bidi w:val="0"/>
              <w:spacing w:before="0" w:after="283"/>
              <w:ind w:left="300" w:right="0" w:firstLine="300"/>
              <w:jc w:val="left"/>
              <w:rPr>
                <w:rFonts w:ascii="Calibri;sans-serif" w:hAnsi="Calibri;sans-serif"/>
                <w:b w:val="false"/>
                <w:color w:val="000000"/>
                <w:sz w:val="18"/>
              </w:rPr>
            </w:pPr>
            <w:r>
              <w:rPr>
                <w:rFonts w:ascii="Calibri;sans-serif" w:hAnsi="Calibri;sans-serif"/>
                <w:b w:val="false"/>
                <w:color w:val="000000"/>
                <w:sz w:val="18"/>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13,185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(75</w:t>
            </w:r>
          </w:p>
        </w:tc>
        <w:tc>
          <w:tcPr>
            <w:tcW w:w="511"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r>
      <w:tr>
        <w:trPr/>
        <w:tc>
          <w:tcPr>
            <w:tcW w:w="3804"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Income before income taxes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27,262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28,856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68,077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78,782</w:t>
            </w:r>
          </w:p>
        </w:tc>
        <w:tc>
          <w:tcPr>
            <w:tcW w:w="511" w:type="dxa"/>
            <w:tcBorders/>
            <w:shd w:fill="CFF0FC" w:val="clear"/>
            <w:vAlign w:val="center"/>
          </w:tcPr>
          <w:p>
            <w:pPr>
              <w:pStyle w:val="TableContents"/>
              <w:bidi w:val="0"/>
              <w:spacing w:before="0" w:after="283"/>
              <w:jc w:val="left"/>
              <w:rPr/>
            </w:pPr>
            <w:r>
              <w:rPr/>
              <w:t> </w:t>
            </w:r>
          </w:p>
        </w:tc>
      </w:tr>
      <w:tr>
        <w:trPr/>
        <w:tc>
          <w:tcPr>
            <w:tcW w:w="3804"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Provision for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8,289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10,032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23,421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23,059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Consolidated net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18,973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18,824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44,656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55,723</w:t>
            </w:r>
          </w:p>
        </w:tc>
        <w:tc>
          <w:tcPr>
            <w:tcW w:w="511" w:type="dxa"/>
            <w:tcBorders/>
            <w:shd w:fill="CFF0FC" w:val="clear"/>
            <w:vAlign w:val="center"/>
          </w:tcPr>
          <w:p>
            <w:pPr>
              <w:pStyle w:val="TableContents"/>
              <w:bidi w:val="0"/>
              <w:spacing w:before="0" w:after="283"/>
              <w:jc w:val="left"/>
              <w:rPr/>
            </w:pPr>
            <w:r>
              <w:rPr/>
              <w:t> </w:t>
            </w:r>
          </w:p>
        </w:tc>
      </w:tr>
      <w:tr>
        <w:trPr/>
        <w:tc>
          <w:tcPr>
            <w:tcW w:w="3804"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Net loss attributable to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(10,191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(3,871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r>
      <w:tr>
        <w:trPr/>
        <w:tc>
          <w:tcPr>
            <w:tcW w:w="3804"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Net income attributable to CarGurus, Inc.</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22,302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20,400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54,847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59,594</w:t>
            </w:r>
          </w:p>
        </w:tc>
        <w:tc>
          <w:tcPr>
            <w:tcW w:w="511" w:type="dxa"/>
            <w:tcBorders/>
            <w:shd w:fill="CFF0FC" w:val="clear"/>
            <w:vAlign w:val="center"/>
          </w:tcPr>
          <w:p>
            <w:pPr>
              <w:pStyle w:val="TableContents"/>
              <w:bidi w:val="0"/>
              <w:spacing w:before="0" w:after="283"/>
              <w:jc w:val="left"/>
              <w:rPr/>
            </w:pPr>
            <w:r>
              <w:rPr/>
              <w:t> </w:t>
            </w:r>
          </w:p>
        </w:tc>
      </w:tr>
      <w:tr>
        <w:trPr/>
        <w:tc>
          <w:tcPr>
            <w:tcW w:w="3804"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Accretion of redeemable noncontrolling interest to redemption value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(86,564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25,056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Net income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22,302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106,964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54,847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34,538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Net income per share attributable to common stockholders: (Note 10)</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3804"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Basic</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0.29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Diluted</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0.28</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 xml:space="preserve">Weighted-average number of shares of common stock used in </w:t>
              <w:br/>
              <w:t>   computing net income per share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jc w:val="right"/>
              <w:rPr/>
            </w:pPr>
            <w:r>
              <w:rPr/>
              <w:t> </w:t>
            </w:r>
          </w:p>
        </w:tc>
      </w:tr>
      <w:tr>
        <w:trPr/>
        <w:tc>
          <w:tcPr>
            <w:tcW w:w="3804" w:type="dxa"/>
            <w:tcBorders/>
            <w:shd w:fill="FFFFFF"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Basic</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113,223,711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118,683,642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113,998,928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118,370,925</w:t>
            </w:r>
          </w:p>
        </w:tc>
        <w:tc>
          <w:tcPr>
            <w:tcW w:w="511" w:type="dxa"/>
            <w:tcBorders/>
            <w:shd w:fill="FFFFFF" w:val="clear"/>
            <w:vAlign w:val="center"/>
          </w:tcPr>
          <w:p>
            <w:pPr>
              <w:pStyle w:val="TableContents"/>
              <w:bidi w:val="0"/>
              <w:spacing w:before="0" w:after="283"/>
              <w:jc w:val="left"/>
              <w:rPr/>
            </w:pPr>
            <w:r>
              <w:rPr/>
              <w:t> </w:t>
            </w:r>
          </w:p>
        </w:tc>
      </w:tr>
      <w:tr>
        <w:trPr/>
        <w:tc>
          <w:tcPr>
            <w:tcW w:w="3804" w:type="dxa"/>
            <w:tcBorders/>
            <w:shd w:fill="CFF0FC" w:val="clear"/>
            <w:vAlign w:val="center"/>
          </w:tcPr>
          <w:p>
            <w:pPr>
              <w:pStyle w:val="TableContents"/>
              <w:bidi w:val="0"/>
              <w:spacing w:before="0" w:after="283"/>
              <w:jc w:val="left"/>
              <w:rPr>
                <w:rFonts w:ascii="Calibri;sans-serif" w:hAnsi="Calibri;sans-serif"/>
                <w:b w:val="false"/>
                <w:color w:val="000000"/>
                <w:sz w:val="18"/>
              </w:rPr>
            </w:pPr>
            <w:r>
              <w:rPr>
                <w:rFonts w:ascii="Calibri;sans-serif" w:hAnsi="Calibri;sans-serif"/>
                <w:b w:val="false"/>
                <w:color w:val="000000"/>
                <w:sz w:val="18"/>
              </w:rPr>
              <w:t>Diluted</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114,322,279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132,243,636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114,901,736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Calibri;sans-serif" w:hAnsi="Calibri;sans-serif"/>
                <w:b w:val="false"/>
                <w:color w:val="000000"/>
                <w:sz w:val="18"/>
              </w:rPr>
            </w:pPr>
            <w:r>
              <w:rPr>
                <w:rFonts w:ascii="Calibri;sans-serif" w:hAnsi="Calibri;sans-serif"/>
                <w:b w:val="false"/>
                <w:color w:val="000000"/>
                <w:sz w:val="18"/>
              </w:rPr>
              <w:t>122,159,270</w:t>
            </w:r>
          </w:p>
        </w:tc>
        <w:tc>
          <w:tcPr>
            <w:tcW w:w="51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both"/>
        <w:rPr>
          <w:rFonts w:ascii="Calibri" w:hAnsi="Calibri"/>
          <w:b w:val="false"/>
          <w:color w:val="000000"/>
          <w:sz w:val="20"/>
        </w:rPr>
      </w:pPr>
      <w:r>
        <w:rPr>
          <w:rFonts w:ascii="Calibri" w:hAnsi="Calibri"/>
          <w:b w:val="false"/>
          <w:color w:val="000000"/>
          <w:sz w:val="20"/>
        </w:rPr>
        <w:t>(1)</w:t>
      </w:r>
    </w:p>
    <w:p>
      <w:pPr>
        <w:pStyle w:val="TextBody"/>
        <w:bidi w:val="0"/>
        <w:spacing w:before="120" w:after="283"/>
        <w:jc w:val="both"/>
        <w:rPr/>
      </w:pPr>
      <w:r>
        <w:rPr>
          <w:rFonts w:ascii="Calibri;sans-serif" w:hAnsi="Calibri;sans-serif"/>
          <w:b w:val="false"/>
          <w:color w:val="000000"/>
          <w:sz w:val="13"/>
        </w:rPr>
        <w:t>Includes depreciation and amortization expense for the three months ended September 30, 2023 and 2022 and for the nine months ended September 30, 2023 and 2022 of $8,433, $7,341, $23,951</w:t>
      </w:r>
      <w:r>
        <w:rPr>
          <w:color w:val="000000"/>
        </w:rPr>
        <w:t xml:space="preserve"> </w:t>
      </w:r>
      <w:r>
        <w:rPr>
          <w:rFonts w:ascii="Calibri;sans-serif" w:hAnsi="Calibri;sans-serif"/>
          <w:b w:val="false"/>
          <w:color w:val="000000"/>
          <w:sz w:val="13"/>
        </w:rPr>
        <w:t>and $22,063, respectively.</w:t>
      </w:r>
    </w:p>
    <w:p>
      <w:pPr>
        <w:pStyle w:val="TextBody"/>
        <w:bidi w:val="0"/>
        <w:spacing w:before="120" w:after="283"/>
        <w:jc w:val="center"/>
        <w:rPr>
          <w:rFonts w:ascii="Times New Roman" w:hAnsi="Times New Roman"/>
          <w:sz w:val="20"/>
        </w:rPr>
      </w:pPr>
      <w:r>
        <w:rPr>
          <w:rFonts w:ascii="Calibri;sans-serif" w:hAnsi="Calibri;sans-serif"/>
          <w:b w:val="false"/>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Calibri;sans-serif" w:hAnsi="Calibri;sans-serif"/>
          <w:b w:val="false"/>
          <w:color w:val="000000"/>
          <w:sz w:val="20"/>
        </w:rPr>
      </w:pPr>
      <w:r>
        <w:rPr>
          <w:rFonts w:ascii="Calibri;sans-serif" w:hAnsi="Calibri;sans-serif"/>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CarGurus, Inc.</w:t>
      </w:r>
    </w:p>
    <w:p>
      <w:pPr>
        <w:pStyle w:val="TextBody"/>
        <w:bidi w:val="0"/>
        <w:spacing w:before="120" w:after="283"/>
        <w:jc w:val="center"/>
        <w:rPr>
          <w:rFonts w:ascii="Calibri;sans-serif" w:hAnsi="Calibri;sans-serif"/>
          <w:b/>
          <w:color w:val="000000"/>
          <w:sz w:val="20"/>
        </w:rPr>
      </w:pPr>
      <w:bookmarkStart w:id="6" w:name="consolidated_statements_comprehensive_lo"/>
      <w:bookmarkEnd w:id="6"/>
      <w:r>
        <w:rPr>
          <w:rFonts w:ascii="Calibri;sans-serif" w:hAnsi="Calibri;sans-serif"/>
          <w:b/>
          <w:color w:val="000000"/>
          <w:sz w:val="20"/>
        </w:rPr>
        <w:t>Unaudited Condensed Consolidated Statements of Comprehensive Income</w:t>
      </w:r>
    </w:p>
    <w:p>
      <w:pPr>
        <w:pStyle w:val="TextBody"/>
        <w:bidi w:val="0"/>
        <w:spacing w:before="120" w:after="283"/>
        <w:jc w:val="center"/>
        <w:rPr>
          <w:rFonts w:ascii="Calibri;sans-serif" w:hAnsi="Calibri;sans-serif"/>
          <w:b/>
          <w:color w:val="000000"/>
          <w:sz w:val="20"/>
        </w:rPr>
      </w:pPr>
      <w:r>
        <w:rPr>
          <w:rFonts w:ascii="Calibri;sans-serif" w:hAnsi="Calibri;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124"/>
        <w:gridCol w:w="146"/>
        <w:gridCol w:w="211"/>
        <w:gridCol w:w="676"/>
        <w:gridCol w:w="166"/>
        <w:gridCol w:w="146"/>
        <w:gridCol w:w="211"/>
        <w:gridCol w:w="676"/>
        <w:gridCol w:w="166"/>
        <w:gridCol w:w="146"/>
        <w:gridCol w:w="211"/>
        <w:gridCol w:w="736"/>
        <w:gridCol w:w="166"/>
        <w:gridCol w:w="146"/>
        <w:gridCol w:w="211"/>
        <w:gridCol w:w="676"/>
        <w:gridCol w:w="391"/>
      </w:tblGrid>
      <w:tr>
        <w:trPr/>
        <w:tc>
          <w:tcPr>
            <w:tcW w:w="5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Consolidated 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44,656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55,723</w:t>
            </w:r>
          </w:p>
        </w:tc>
        <w:tc>
          <w:tcPr>
            <w:tcW w:w="391" w:type="dxa"/>
            <w:tcBorders/>
            <w:shd w:fill="CFF0FC" w:val="clear"/>
            <w:vAlign w:val="center"/>
          </w:tcPr>
          <w:p>
            <w:pPr>
              <w:pStyle w:val="TableContents"/>
              <w:bidi w:val="0"/>
              <w:spacing w:before="0" w:after="283"/>
              <w:jc w:val="left"/>
              <w:rPr/>
            </w:pPr>
            <w:r>
              <w:rPr/>
              <w:t> </w:t>
            </w:r>
          </w:p>
        </w:tc>
      </w:tr>
      <w:tr>
        <w:trPr/>
        <w:tc>
          <w:tcPr>
            <w:tcW w:w="512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12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512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Consolidated comprehensive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17,305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44,181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52,129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2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Comprehensive loss attributable to redeemable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512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Comprehensive income attributable to CarGurus, Inc.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56,000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Calibri;sans-serif" w:hAnsi="Calibri;sans-serif"/>
          <w:b w:val="false"/>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Calibri;sans-serif" w:hAnsi="Calibri;sans-serif"/>
          <w:b w:val="false"/>
          <w:color w:val="000000"/>
          <w:sz w:val="20"/>
        </w:rPr>
      </w:pPr>
      <w:r>
        <w:rPr>
          <w:rFonts w:ascii="Calibri;sans-serif" w:hAnsi="Calibri;sans-serif"/>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14"/>
        </w:rPr>
      </w:pPr>
      <w:r>
        <w:rPr>
          <w:rFonts w:ascii="Calibri;sans-serif" w:hAnsi="Calibri;sans-serif"/>
          <w:b/>
          <w:color w:val="000000"/>
          <w:sz w:val="14"/>
        </w:rPr>
        <w:t>CarGurus, Inc.</w:t>
      </w:r>
    </w:p>
    <w:p>
      <w:pPr>
        <w:pStyle w:val="TextBody"/>
        <w:bidi w:val="0"/>
        <w:jc w:val="center"/>
        <w:rPr>
          <w:rFonts w:ascii="Times New Roman" w:hAnsi="Times New Roman"/>
          <w:sz w:val="20"/>
        </w:rPr>
      </w:pPr>
      <w:bookmarkStart w:id="7" w:name="stockholders_equity"/>
      <w:bookmarkEnd w:id="7"/>
      <w:r>
        <w:rPr>
          <w:rFonts w:ascii="Calibri;sans-serif" w:hAnsi="Calibri;sans-serif"/>
          <w:b/>
          <w:color w:val="000000"/>
          <w:sz w:val="14"/>
        </w:rPr>
        <w:t>Unaudited Condensed Consolidated Statements of Redeemable Noncontrolling Interest and Stockholders’ Equity</w:t>
      </w:r>
      <w:r>
        <w:rPr>
          <w:rFonts w:ascii="Times New Roman" w:hAnsi="Times New Roman"/>
          <w:color w:val="000000"/>
          <w:sz w:val="20"/>
        </w:rPr>
        <w:t xml:space="preserve"> </w:t>
      </w:r>
    </w:p>
    <w:p>
      <w:pPr>
        <w:pStyle w:val="TextBody"/>
        <w:bidi w:val="0"/>
        <w:jc w:val="center"/>
        <w:rPr>
          <w:rFonts w:ascii="Calibri;sans-serif" w:hAnsi="Calibri;sans-serif"/>
          <w:b/>
          <w:color w:val="000000"/>
          <w:sz w:val="14"/>
        </w:rPr>
      </w:pPr>
      <w:r>
        <w:rPr>
          <w:rFonts w:ascii="Calibri;sans-serif" w:hAnsi="Calibri;sans-serif"/>
          <w:b/>
          <w:color w:val="000000"/>
          <w:sz w:val="14"/>
        </w:rPr>
        <w:t>(in thousands, except share data)</w:t>
      </w:r>
    </w:p>
    <w:tbl>
      <w:tblPr>
        <w:tblW w:w="10205" w:type="dxa"/>
        <w:jc w:val="left"/>
        <w:tblInd w:w="0" w:type="dxa"/>
        <w:tblLayout w:type="fixed"/>
        <w:tblCellMar>
          <w:top w:w="28" w:type="dxa"/>
          <w:left w:w="28" w:type="dxa"/>
          <w:bottom w:w="28" w:type="dxa"/>
          <w:right w:w="28" w:type="dxa"/>
        </w:tblCellMar>
      </w:tblPr>
      <w:tblGrid>
        <w:gridCol w:w="1104"/>
        <w:gridCol w:w="146"/>
        <w:gridCol w:w="207"/>
        <w:gridCol w:w="619"/>
        <w:gridCol w:w="146"/>
        <w:gridCol w:w="146"/>
        <w:gridCol w:w="146"/>
        <w:gridCol w:w="706"/>
        <w:gridCol w:w="146"/>
        <w:gridCol w:w="146"/>
        <w:gridCol w:w="166"/>
        <w:gridCol w:w="346"/>
        <w:gridCol w:w="146"/>
        <w:gridCol w:w="146"/>
        <w:gridCol w:w="146"/>
        <w:gridCol w:w="646"/>
        <w:gridCol w:w="146"/>
        <w:gridCol w:w="146"/>
        <w:gridCol w:w="166"/>
        <w:gridCol w:w="346"/>
        <w:gridCol w:w="146"/>
        <w:gridCol w:w="146"/>
        <w:gridCol w:w="166"/>
        <w:gridCol w:w="496"/>
        <w:gridCol w:w="146"/>
        <w:gridCol w:w="146"/>
        <w:gridCol w:w="166"/>
        <w:gridCol w:w="496"/>
        <w:gridCol w:w="146"/>
        <w:gridCol w:w="146"/>
        <w:gridCol w:w="252"/>
        <w:gridCol w:w="619"/>
        <w:gridCol w:w="146"/>
        <w:gridCol w:w="146"/>
        <w:gridCol w:w="184"/>
        <w:gridCol w:w="553"/>
        <w:gridCol w:w="193"/>
      </w:tblGrid>
      <w:tr>
        <w:trPr/>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1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Redeemable</w:t>
              <w:b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Class A</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Accumulated</w:t>
              <w:br/>
              <w:t>Other</w:t>
              <w:b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Total</w:t>
              <w:br/>
              <w:t>Stockholders’</w:t>
            </w:r>
          </w:p>
        </w:tc>
        <w:tc>
          <w:tcPr>
            <w:tcW w:w="193" w:type="dxa"/>
            <w:tcBorders/>
            <w:shd w:fill="FFFFFF" w:val="clear"/>
            <w:vAlign w:val="center"/>
          </w:tcPr>
          <w:p>
            <w:pPr>
              <w:pStyle w:val="TableContents"/>
              <w:bidi w:val="0"/>
              <w:spacing w:before="0" w:after="283"/>
              <w:jc w:val="center"/>
              <w:rPr/>
            </w:pPr>
            <w:r>
              <w:rPr/>
              <w:t> </w:t>
            </w:r>
          </w:p>
        </w:tc>
      </w:tr>
      <w:tr>
        <w:trPr/>
        <w:tc>
          <w:tcPr>
            <w:tcW w:w="11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36,749</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101,636,649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15,999,173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413,092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323,043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(1,644</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734,609</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Net (loss) income</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(4,266</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16,132</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16,049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16,049</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7,700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19</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959,935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Payment of withholding taxes on net share settlements of restricted stock units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(335,448</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(5,652</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(5,652</w:t>
            </w:r>
          </w:p>
        </w:tc>
        <w:tc>
          <w:tcPr>
            <w:tcW w:w="193"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Repurchase of common stock</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(3,989,861</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(65,760</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(65,764</w:t>
            </w:r>
          </w:p>
        </w:tc>
        <w:tc>
          <w:tcPr>
            <w:tcW w:w="193"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Tax distributions to redeemable noncontrolling interest holders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(8</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415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Balance as of March 31, 2023</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32,475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98,278,975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15,999,173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357,748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339,175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695,808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Net (loss) income</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(2,596</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16,413</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15,895</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697,879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Payment of withholding taxes on net share settlements of restricted stock units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(240,674</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(5,196</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(5,196</w:t>
            </w:r>
          </w:p>
        </w:tc>
        <w:tc>
          <w:tcPr>
            <w:tcW w:w="193"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Repurchase of common stock</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(1,311,387</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(21,963</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(21,964</w:t>
            </w:r>
          </w:p>
        </w:tc>
        <w:tc>
          <w:tcPr>
            <w:tcW w:w="193"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Tax distributions to redeemable noncontrolling interest holders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(14</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(112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Balance at June 30, 2023</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29,865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97,426,273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15,999,173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346,494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355,588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700,854</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Net (loss) income</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(3,329</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22,302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22,302</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15,668</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6,654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45</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615,273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Payment of withholding taxes on net share settlements of restricted stock units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(214,187</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(3,915</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(3,915</w:t>
            </w:r>
          </w:p>
        </w:tc>
        <w:tc>
          <w:tcPr>
            <w:tcW w:w="193"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Repurchase of common stock</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(956,248</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(17,181</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(17,182</w:t>
            </w:r>
          </w:p>
        </w:tc>
        <w:tc>
          <w:tcPr>
            <w:tcW w:w="193"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Tax distributions to redeemable noncontrolling interest holders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(778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26,536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96,877,765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15,999,173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341,110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377,890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716,994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Balance as of December 31, 2021</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162,808</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101,773,034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15,999,173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387,868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129,258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(403</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516,841</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Net (loss) income</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(1,072</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19,910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19,910</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15,353</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74,163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680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680</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451,084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Payment of withholding taxes on net share settlements of restricted stock units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(155,736</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(5,430</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(5,430</w:t>
            </w:r>
          </w:p>
        </w:tc>
        <w:tc>
          <w:tcPr>
            <w:tcW w:w="193"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Accretion of redeemable noncontrolling interest to redemption value</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82,000</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(82,000</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(82,000</w:t>
            </w:r>
          </w:p>
        </w:tc>
        <w:tc>
          <w:tcPr>
            <w:tcW w:w="193"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Tax distributions to redeemable noncontrolling interest holders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(3,986</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(489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Balance as of March 31, 2022</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239,750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102,142,545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15,999,173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398,471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67,168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(892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464,865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Net (loss) income</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(1,223</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19,284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19,284</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14,697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14,697</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23,240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25</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447,555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Payment of withholding taxes on net share settlements of restricted stock units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(147,533</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(5,830</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(5,830</w:t>
            </w:r>
          </w:p>
        </w:tc>
        <w:tc>
          <w:tcPr>
            <w:tcW w:w="193"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Accretion of redeemable noncontrolling interest to redemption value</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29,620</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(29,620</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(29,620</w:t>
            </w:r>
          </w:p>
        </w:tc>
        <w:tc>
          <w:tcPr>
            <w:tcW w:w="193"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Tax distributions to redeemable noncontrolling interest holders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(3,642</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(1,586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Balance at June 30, 2022</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264,505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102,465,807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15,999,173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407,363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56,832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(2,478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461,835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Net (loss) income</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(1,576</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20,400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20,400</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14,910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14,910</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21,600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14</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Issuance of common stock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643,989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Payment of withholding taxes on net share settlements of equity awards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(228,049</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(4,273</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(4,273</w:t>
            </w:r>
          </w:p>
        </w:tc>
        <w:tc>
          <w:tcPr>
            <w:tcW w:w="193"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Accretion of redeemable noncontrolling interest to redemption value</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(86,564</w:t>
            </w:r>
          </w:p>
        </w:tc>
        <w:tc>
          <w:tcPr>
            <w:tcW w:w="146"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86,564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86,564</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Tax distributions to redeemable noncontrolling interest holders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(3,753</w:t>
            </w:r>
          </w:p>
        </w:tc>
        <w:tc>
          <w:tcPr>
            <w:tcW w:w="146"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(1,519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172,612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102,903,347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15,999,173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418,013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163,796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(3,997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2"/>
              </w:rPr>
            </w:pPr>
            <w:r>
              <w:rPr>
                <w:rFonts w:ascii="Calibri;sans-serif" w:hAnsi="Calibri;sans-serif"/>
                <w:b w:val="false"/>
                <w:color w:val="000000"/>
                <w:sz w:val="12"/>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2"/>
              </w:rPr>
            </w:pPr>
            <w:r>
              <w:rPr>
                <w:rFonts w:ascii="Calibri;sans-serif" w:hAnsi="Calibri;sans-serif"/>
                <w:b w:val="false"/>
                <w:color w:val="000000"/>
                <w:sz w:val="12"/>
              </w:rPr>
              <w:t>577,931</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Calibri;sans-serif" w:hAnsi="Calibri;sans-serif"/>
          <w:b w:val="false"/>
          <w:color w:val="000000"/>
          <w:sz w:val="14"/>
        </w:rPr>
      </w:pPr>
      <w:r>
        <w:rPr>
          <w:rFonts w:ascii="Calibri;sans-serif" w:hAnsi="Calibri;sans-serif"/>
          <w:b w:val="false"/>
          <w:color w:val="000000"/>
          <w:sz w:val="14"/>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18"/>
        </w:rPr>
      </w:pPr>
      <w:r>
        <w:rPr>
          <w:rFonts w:ascii="Calibri;sans-serif" w:hAnsi="Calibri;sans-serif"/>
          <w:b/>
          <w:color w:val="000000"/>
          <w:sz w:val="18"/>
        </w:rPr>
        <w:t>CarGurus, Inc.</w:t>
      </w:r>
    </w:p>
    <w:p>
      <w:pPr>
        <w:pStyle w:val="TextBody"/>
        <w:bidi w:val="0"/>
        <w:spacing w:before="120" w:after="283"/>
        <w:jc w:val="center"/>
        <w:rPr>
          <w:rFonts w:ascii="Calibri;sans-serif" w:hAnsi="Calibri;sans-serif"/>
          <w:b/>
          <w:color w:val="000000"/>
          <w:sz w:val="18"/>
        </w:rPr>
      </w:pPr>
      <w:bookmarkStart w:id="8" w:name="consolidatedstatementsofcashflows"/>
      <w:bookmarkEnd w:id="8"/>
      <w:r>
        <w:rPr>
          <w:rFonts w:ascii="Calibri;sans-serif" w:hAnsi="Calibri;sans-serif"/>
          <w:b/>
          <w:color w:val="000000"/>
          <w:sz w:val="18"/>
        </w:rPr>
        <w:t>Unaudited Condensed Consolidated Statements of Cash Flows</w:t>
      </w:r>
    </w:p>
    <w:p>
      <w:pPr>
        <w:pStyle w:val="TextBody"/>
        <w:bidi w:val="0"/>
        <w:spacing w:before="120" w:after="283"/>
        <w:jc w:val="center"/>
        <w:rPr>
          <w:rFonts w:ascii="Calibri;sans-serif" w:hAnsi="Calibri;sans-serif"/>
          <w:b/>
          <w:color w:val="000000"/>
          <w:sz w:val="18"/>
        </w:rPr>
      </w:pPr>
      <w:r>
        <w:rPr>
          <w:rFonts w:ascii="Calibri;sans-serif" w:hAnsi="Calibri;sans-serif"/>
          <w:b/>
          <w:color w:val="000000"/>
          <w:sz w:val="18"/>
        </w:rPr>
        <w:t>(in thousands)</w:t>
      </w:r>
    </w:p>
    <w:p>
      <w:pPr>
        <w:pStyle w:val="TextBody"/>
        <w:bidi w:val="0"/>
        <w:jc w:val="center"/>
        <w:rPr/>
      </w:pPr>
      <w:r>
        <w:rPr/>
        <w:t> </w:t>
      </w:r>
    </w:p>
    <w:p>
      <w:pPr>
        <w:pStyle w:val="TextBody"/>
        <w:bidi w:val="0"/>
        <w:jc w:val="both"/>
        <w:rPr/>
      </w:pPr>
      <w:r>
        <w:rPr/>
        <w:t> </w:t>
      </w:r>
    </w:p>
    <w:tbl>
      <w:tblPr>
        <w:tblW w:w="7704" w:type="dxa"/>
        <w:jc w:val="left"/>
        <w:tblInd w:w="0" w:type="dxa"/>
        <w:tblLayout w:type="fixed"/>
        <w:tblCellMar>
          <w:top w:w="28" w:type="dxa"/>
          <w:left w:w="28" w:type="dxa"/>
          <w:bottom w:w="28" w:type="dxa"/>
          <w:right w:w="28" w:type="dxa"/>
        </w:tblCellMar>
      </w:tblPr>
      <w:tblGrid>
        <w:gridCol w:w="5326"/>
        <w:gridCol w:w="146"/>
        <w:gridCol w:w="181"/>
        <w:gridCol w:w="631"/>
        <w:gridCol w:w="151"/>
        <w:gridCol w:w="146"/>
        <w:gridCol w:w="181"/>
        <w:gridCol w:w="586"/>
        <w:gridCol w:w="356"/>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 xml:space="preserve">Nine Months Ended </w:t>
              <w:br/>
              <w:t>September 30,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2022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Operating Activities</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righ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Consolidated net income</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44,656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55,723</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Adjustments to reconcile consolidated net income to 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righ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Depreciation and amortization</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35,713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33,602</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Gain on sale of property and equipment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(460</w:t>
            </w:r>
          </w:p>
        </w:tc>
        <w:tc>
          <w:tcPr>
            <w:tcW w:w="15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Unrealized currency loss on foreign denominated transactions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617</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Other non-cash expense, net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168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Deferred taxes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(32,129</w:t>
            </w:r>
          </w:p>
        </w:tc>
        <w:tc>
          <w:tcPr>
            <w:tcW w:w="15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(30,665</w:t>
            </w:r>
          </w:p>
        </w:tc>
        <w:tc>
          <w:tcPr>
            <w:tcW w:w="35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Provision for doubtful accounts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247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1,129</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Stock-based compensation expense</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43,769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41,550</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Amortization of deferred financing costs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7</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Amortization of deferred contract costs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8,629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8,332</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Impairment of long-lived assets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184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Changes in operating assets and liabilities:</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ind w:left="0" w:right="0" w:firstLine="160"/>
              <w:jc w:val="right"/>
              <w:rPr/>
            </w:pPr>
            <w:r>
              <w:rPr/>
              <w:t> </w:t>
            </w:r>
          </w:p>
        </w:tc>
      </w:tr>
      <w:tr>
        <w:trPr/>
        <w:tc>
          <w:tcPr>
            <w:tcW w:w="5326" w:type="dxa"/>
            <w:tcBorders/>
            <w:shd w:fill="CFF0FC" w:val="clear"/>
            <w:vAlign w:val="center"/>
          </w:tcPr>
          <w:p>
            <w:pPr>
              <w:pStyle w:val="TableContents"/>
              <w:bidi w:val="0"/>
              <w:spacing w:before="0" w:after="283"/>
              <w:ind w:left="160" w:right="0" w:firstLine="160"/>
              <w:jc w:val="left"/>
              <w:rPr>
                <w:rFonts w:ascii="Calibri;sans-serif" w:hAnsi="Calibri;sans-serif"/>
                <w:b w:val="false"/>
                <w:color w:val="000000"/>
                <w:sz w:val="14"/>
              </w:rPr>
            </w:pPr>
            <w:r>
              <w:rPr>
                <w:rFonts w:ascii="Calibri;sans-serif" w:hAnsi="Calibri;sans-serif"/>
                <w:b w:val="false"/>
                <w:color w:val="000000"/>
                <w:sz w:val="14"/>
              </w:rPr>
              <w:t>Accounts receivable</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63,484</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5326" w:type="dxa"/>
            <w:tcBorders/>
            <w:shd w:fill="FFFFFF" w:val="clear"/>
            <w:vAlign w:val="center"/>
          </w:tcPr>
          <w:p>
            <w:pPr>
              <w:pStyle w:val="TableContents"/>
              <w:bidi w:val="0"/>
              <w:spacing w:before="0" w:after="283"/>
              <w:ind w:left="160" w:right="0" w:firstLine="160"/>
              <w:jc w:val="left"/>
              <w:rPr>
                <w:rFonts w:ascii="Calibri;sans-serif" w:hAnsi="Calibri;sans-serif"/>
                <w:b w:val="false"/>
                <w:color w:val="000000"/>
                <w:sz w:val="14"/>
              </w:rPr>
            </w:pPr>
            <w:r>
              <w:rPr>
                <w:rFonts w:ascii="Calibri;sans-serif" w:hAnsi="Calibri;sans-serif"/>
                <w:b w:val="false"/>
                <w:color w:val="000000"/>
                <w:sz w:val="14"/>
              </w:rPr>
              <w:t>Inventory</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4,959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(8,510</w:t>
            </w:r>
          </w:p>
        </w:tc>
        <w:tc>
          <w:tcPr>
            <w:tcW w:w="356" w:type="dxa"/>
            <w:tcBorders/>
            <w:shd w:fill="FFFFFF" w:val="clear"/>
            <w:vAlign w:val="center"/>
          </w:tcPr>
          <w:p>
            <w:pPr>
              <w:pStyle w:val="TableContents"/>
              <w:bidi w:val="0"/>
              <w:spacing w:before="0" w:after="283"/>
              <w:ind w:left="0" w:right="0" w:firstLine="160"/>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CFF0FC" w:val="clear"/>
            <w:vAlign w:val="center"/>
          </w:tcPr>
          <w:p>
            <w:pPr>
              <w:pStyle w:val="TableContents"/>
              <w:bidi w:val="0"/>
              <w:spacing w:before="0" w:after="283"/>
              <w:ind w:left="160" w:right="0" w:firstLine="160"/>
              <w:jc w:val="left"/>
              <w:rPr>
                <w:rFonts w:ascii="Calibri;sans-serif" w:hAnsi="Calibri;sans-serif"/>
                <w:b w:val="false"/>
                <w:color w:val="000000"/>
                <w:sz w:val="14"/>
              </w:rPr>
            </w:pPr>
            <w:r>
              <w:rPr>
                <w:rFonts w:ascii="Calibri;sans-serif" w:hAnsi="Calibri;sans-serif"/>
                <w:b w:val="false"/>
                <w:color w:val="000000"/>
                <w:sz w:val="14"/>
              </w:rPr>
              <w:t>Prepaid expenses, prepaid income taxes, and other assets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6,027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(14,675</w:t>
            </w:r>
          </w:p>
        </w:tc>
        <w:tc>
          <w:tcPr>
            <w:tcW w:w="356" w:type="dxa"/>
            <w:tcBorders/>
            <w:shd w:fill="CFF0FC" w:val="clear"/>
            <w:vAlign w:val="center"/>
          </w:tcPr>
          <w:p>
            <w:pPr>
              <w:pStyle w:val="TableContents"/>
              <w:bidi w:val="0"/>
              <w:spacing w:before="0" w:after="283"/>
              <w:ind w:left="0" w:right="0" w:firstLine="160"/>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FFFFFF" w:val="clear"/>
            <w:vAlign w:val="center"/>
          </w:tcPr>
          <w:p>
            <w:pPr>
              <w:pStyle w:val="TableContents"/>
              <w:bidi w:val="0"/>
              <w:spacing w:before="0" w:after="283"/>
              <w:ind w:left="160" w:right="0" w:firstLine="160"/>
              <w:jc w:val="left"/>
              <w:rPr>
                <w:rFonts w:ascii="Calibri;sans-serif" w:hAnsi="Calibri;sans-serif"/>
                <w:b w:val="false"/>
                <w:color w:val="000000"/>
                <w:sz w:val="14"/>
              </w:rPr>
            </w:pPr>
            <w:r>
              <w:rPr>
                <w:rFonts w:ascii="Calibri;sans-serif" w:hAnsi="Calibri;sans-serif"/>
                <w:b w:val="false"/>
                <w:color w:val="000000"/>
                <w:sz w:val="14"/>
              </w:rPr>
              <w:t>Deferred contract costs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(13,688</w:t>
            </w:r>
          </w:p>
        </w:tc>
        <w:tc>
          <w:tcPr>
            <w:tcW w:w="15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(9,089</w:t>
            </w:r>
          </w:p>
        </w:tc>
        <w:tc>
          <w:tcPr>
            <w:tcW w:w="356" w:type="dxa"/>
            <w:tcBorders/>
            <w:shd w:fill="FFFFFF" w:val="clear"/>
            <w:vAlign w:val="center"/>
          </w:tcPr>
          <w:p>
            <w:pPr>
              <w:pStyle w:val="TableContents"/>
              <w:bidi w:val="0"/>
              <w:spacing w:before="0" w:after="283"/>
              <w:ind w:left="0" w:right="0" w:firstLine="160"/>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CFF0FC" w:val="clear"/>
            <w:vAlign w:val="center"/>
          </w:tcPr>
          <w:p>
            <w:pPr>
              <w:pStyle w:val="TableContents"/>
              <w:bidi w:val="0"/>
              <w:spacing w:before="0" w:after="283"/>
              <w:ind w:left="160" w:right="0" w:firstLine="160"/>
              <w:jc w:val="left"/>
              <w:rPr>
                <w:rFonts w:ascii="Calibri;sans-serif" w:hAnsi="Calibri;sans-serif"/>
                <w:b w:val="false"/>
                <w:color w:val="000000"/>
                <w:sz w:val="14"/>
              </w:rPr>
            </w:pPr>
            <w:r>
              <w:rPr>
                <w:rFonts w:ascii="Calibri;sans-serif" w:hAnsi="Calibri;sans-serif"/>
                <w:b w:val="false"/>
                <w:color w:val="000000"/>
                <w:sz w:val="14"/>
              </w:rPr>
              <w:t>Accounts payable</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1,177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1,310</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5326" w:type="dxa"/>
            <w:tcBorders/>
            <w:shd w:fill="FFFFFF" w:val="clear"/>
            <w:vAlign w:val="center"/>
          </w:tcPr>
          <w:p>
            <w:pPr>
              <w:pStyle w:val="TableContents"/>
              <w:bidi w:val="0"/>
              <w:spacing w:before="0" w:after="283"/>
              <w:ind w:left="160" w:right="0" w:firstLine="160"/>
              <w:jc w:val="left"/>
              <w:rPr>
                <w:rFonts w:ascii="Calibri;sans-serif" w:hAnsi="Calibri;sans-serif"/>
                <w:b w:val="false"/>
                <w:color w:val="000000"/>
                <w:sz w:val="14"/>
              </w:rPr>
            </w:pPr>
            <w:r>
              <w:rPr>
                <w:rFonts w:ascii="Calibri;sans-serif" w:hAnsi="Calibri;sans-serif"/>
                <w:b w:val="false"/>
                <w:color w:val="000000"/>
                <w:sz w:val="14"/>
              </w:rPr>
              <w:t>Accrued expenses, accrued income taxes, and other liabilities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1,016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18,924</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5326" w:type="dxa"/>
            <w:tcBorders/>
            <w:shd w:fill="CFF0FC" w:val="clear"/>
            <w:vAlign w:val="center"/>
          </w:tcPr>
          <w:p>
            <w:pPr>
              <w:pStyle w:val="TableContents"/>
              <w:bidi w:val="0"/>
              <w:spacing w:before="0" w:after="283"/>
              <w:ind w:left="160" w:right="0" w:firstLine="160"/>
              <w:jc w:val="left"/>
              <w:rPr>
                <w:rFonts w:ascii="Calibri;sans-serif" w:hAnsi="Calibri;sans-serif"/>
                <w:b w:val="false"/>
                <w:color w:val="000000"/>
                <w:sz w:val="14"/>
              </w:rPr>
            </w:pPr>
            <w:r>
              <w:rPr>
                <w:rFonts w:ascii="Calibri;sans-serif" w:hAnsi="Calibri;sans-serif"/>
                <w:b w:val="false"/>
                <w:color w:val="000000"/>
                <w:sz w:val="14"/>
              </w:rPr>
              <w:t>Deferred revenue</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8,797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(20</w:t>
            </w:r>
          </w:p>
        </w:tc>
        <w:tc>
          <w:tcPr>
            <w:tcW w:w="356" w:type="dxa"/>
            <w:tcBorders/>
            <w:shd w:fill="CFF0FC" w:val="clear"/>
            <w:vAlign w:val="center"/>
          </w:tcPr>
          <w:p>
            <w:pPr>
              <w:pStyle w:val="TableContents"/>
              <w:bidi w:val="0"/>
              <w:spacing w:before="0" w:after="283"/>
              <w:ind w:left="0" w:right="0" w:firstLine="160"/>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FFFFFF" w:val="clear"/>
            <w:vAlign w:val="center"/>
          </w:tcPr>
          <w:p>
            <w:pPr>
              <w:pStyle w:val="TableContents"/>
              <w:bidi w:val="0"/>
              <w:spacing w:before="0" w:after="283"/>
              <w:ind w:left="160" w:right="0" w:firstLine="160"/>
              <w:jc w:val="left"/>
              <w:rPr>
                <w:rFonts w:ascii="Calibri;sans-serif" w:hAnsi="Calibri;sans-serif"/>
                <w:b w:val="false"/>
                <w:color w:val="000000"/>
                <w:sz w:val="14"/>
              </w:rPr>
            </w:pPr>
            <w:r>
              <w:rPr>
                <w:rFonts w:ascii="Calibri;sans-serif" w:hAnsi="Calibri;sans-serif"/>
                <w:b w:val="false"/>
                <w:color w:val="000000"/>
                <w:sz w:val="14"/>
              </w:rPr>
              <w:t>Lease obligations</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11,993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(916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122,031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160,803</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Investing Activities</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Purchases of property and equipment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(9,048</w:t>
            </w:r>
          </w:p>
        </w:tc>
        <w:tc>
          <w:tcPr>
            <w:tcW w:w="15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(4,168</w:t>
            </w:r>
          </w:p>
        </w:tc>
        <w:tc>
          <w:tcPr>
            <w:tcW w:w="35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Proceeds from sale of property and equipment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460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Capitalization of website development costs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(11,773</w:t>
            </w:r>
          </w:p>
        </w:tc>
        <w:tc>
          <w:tcPr>
            <w:tcW w:w="15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(8,275</w:t>
            </w:r>
          </w:p>
        </w:tc>
        <w:tc>
          <w:tcPr>
            <w:tcW w:w="35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Purchases of short-term investments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(96,748</w:t>
            </w:r>
          </w:p>
        </w:tc>
        <w:tc>
          <w:tcPr>
            <w:tcW w:w="15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Maturities of short-term investments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90,000</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Sales of short-term investments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5,000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Advance payments to customers, net of collections</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(2,908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Net cash (used in) provided by investing activities</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(115,017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77,557</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Financing Activities</w:t>
            </w:r>
          </w:p>
        </w:tc>
        <w:tc>
          <w:tcPr>
            <w:tcW w:w="146" w:type="dxa"/>
            <w:tcBorders/>
            <w:shd w:fill="CFF0FC" w:val="clear"/>
            <w:vAlign w:val="center"/>
          </w:tcPr>
          <w:p>
            <w:pPr>
              <w:pStyle w:val="TableContents"/>
              <w:bidi w:val="0"/>
              <w:spacing w:before="0" w:after="283"/>
              <w:jc w:val="right"/>
              <w:rPr/>
            </w:pPr>
            <w:r>
              <w:rPr/>
              <w:t> </w:t>
            </w:r>
          </w:p>
        </w:tc>
        <w:tc>
          <w:tcPr>
            <w:tcW w:w="81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righ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Proceeds from issuance of common stock upon exercise of stock options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719</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Payment of withholding taxes on net share settlements of restricted stock units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(11,738</w:t>
            </w:r>
          </w:p>
        </w:tc>
        <w:tc>
          <w:tcPr>
            <w:tcW w:w="15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(14,171</w:t>
            </w:r>
          </w:p>
        </w:tc>
        <w:tc>
          <w:tcPr>
            <w:tcW w:w="35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Repurchase of common stock</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(107,409</w:t>
            </w:r>
          </w:p>
        </w:tc>
        <w:tc>
          <w:tcPr>
            <w:tcW w:w="15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Payment of deferred financing costs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(2,578</w:t>
            </w:r>
          </w:p>
        </w:tc>
        <w:tc>
          <w:tcPr>
            <w:tcW w:w="35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Payment of finance lease obligations</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(52</w:t>
            </w:r>
          </w:p>
        </w:tc>
        <w:tc>
          <w:tcPr>
            <w:tcW w:w="15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(51</w:t>
            </w:r>
          </w:p>
        </w:tc>
        <w:tc>
          <w:tcPr>
            <w:tcW w:w="35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Payment of tax distributions to redeemable noncontrolling interest holders</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(38</w:t>
            </w:r>
          </w:p>
        </w:tc>
        <w:tc>
          <w:tcPr>
            <w:tcW w:w="15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(19,843</w:t>
            </w:r>
          </w:p>
        </w:tc>
        <w:tc>
          <w:tcPr>
            <w:tcW w:w="35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Change in gross advance payments received from third-party transaction processor</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(4,523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(21,765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Net cash used in financing activities</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(123,686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(57,689</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Impact of foreign currency on cash, cash equivalents, and restricted cash</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(506</w:t>
            </w:r>
          </w:p>
        </w:tc>
        <w:tc>
          <w:tcPr>
            <w:tcW w:w="15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(1,640</w:t>
            </w:r>
          </w:p>
        </w:tc>
        <w:tc>
          <w:tcPr>
            <w:tcW w:w="35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Net (decrease) increase in cash, cash equivalents, and restricted cash</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(117,178</w:t>
            </w:r>
          </w:p>
        </w:tc>
        <w:tc>
          <w:tcPr>
            <w:tcW w:w="15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179,031</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Cash, cash equivalents, and restricted cash at beginning of period</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484,132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248,280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366,954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427,311</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Cash paid for income taxes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48,933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53,249</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Cash paid for operating lease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14,762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13,535</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Cash paid for interest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411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25</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Supplemental noncash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 xml:space="preserve">Unpaid purchases of property and equipment, capitalized website development, </w:t>
              <w:br/>
              <w:t>   capitalized internal-use software and capitalized hosting arrangements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5,706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224</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Unpaid withholding taxes on net share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3,029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1,362</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Unpaid repurchases of common stock</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1,790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Capitalized stock-based compensation expense in website development and</w:t>
              <w:br/>
              <w:t>   internal-use software costs and hosting arrangements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3,843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3,410</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Obtaining a right-of-use asset in exchange for an operating lease liability</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145,607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5,307</w:t>
            </w:r>
          </w:p>
        </w:tc>
        <w:tc>
          <w:tcPr>
            <w:tcW w:w="356"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Accretion of redeemable noncontrolling interest to redemption value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FFFFFF"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25,056</w:t>
            </w:r>
          </w:p>
        </w:tc>
        <w:tc>
          <w:tcPr>
            <w:tcW w:w="356"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Accrued tax distributions to redeemable noncontrolling interest holders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86" w:type="dxa"/>
            <w:tcBorders/>
            <w:shd w:fill="CFF0FC" w:val="clear"/>
            <w:vAlign w:val="center"/>
          </w:tcPr>
          <w:p>
            <w:pPr>
              <w:pStyle w:val="TableContents"/>
              <w:bidi w:val="0"/>
              <w:spacing w:before="0" w:after="283"/>
              <w:jc w:val="right"/>
              <w:rPr>
                <w:rFonts w:ascii="Calibri;sans-serif" w:hAnsi="Calibri;sans-serif"/>
                <w:b w:val="false"/>
                <w:color w:val="000000"/>
                <w:sz w:val="14"/>
              </w:rPr>
            </w:pPr>
            <w:r>
              <w:rPr>
                <w:rFonts w:ascii="Calibri;sans-serif" w:hAnsi="Calibri;sans-serif"/>
                <w:b w:val="false"/>
                <w:color w:val="000000"/>
                <w:sz w:val="14"/>
              </w:rPr>
              <w:t>239</w:t>
            </w:r>
          </w:p>
        </w:tc>
        <w:tc>
          <w:tcPr>
            <w:tcW w:w="356"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Calibri;sans-serif" w:hAnsi="Calibri;sans-serif"/>
          <w:b w:val="false"/>
          <w:color w:val="000000"/>
          <w:sz w:val="18"/>
        </w:rPr>
      </w:pPr>
      <w:r>
        <w:rPr>
          <w:rFonts w:ascii="Calibri;sans-serif" w:hAnsi="Calibri;sans-serif"/>
          <w:b w:val="false"/>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CarGurus, Inc.</w:t>
      </w:r>
    </w:p>
    <w:p>
      <w:pPr>
        <w:pStyle w:val="TextBody"/>
        <w:bidi w:val="0"/>
        <w:spacing w:before="240" w:after="283"/>
        <w:jc w:val="center"/>
        <w:rPr>
          <w:rFonts w:ascii="Times New Roman" w:hAnsi="Times New Roman"/>
          <w:sz w:val="20"/>
        </w:rPr>
      </w:pPr>
      <w:bookmarkStart w:id="9" w:name="notes_to_consolidated_financial_statemen"/>
      <w:bookmarkEnd w:id="9"/>
      <w:r>
        <w:rPr>
          <w:rFonts w:ascii="Calibri;sans-serif" w:hAnsi="Calibri;sans-serif"/>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Calibri;sans-serif" w:hAnsi="Calibri;sans-serif"/>
          <w:b/>
          <w:color w:val="000000"/>
          <w:sz w:val="20"/>
        </w:rPr>
        <w:t>(dollars in thousands, except share and per share data, unless otherwise noted)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1. Organization and Business Description</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CarGurus, Inc. (the "Company") is a multinational, online automotive platform for buying and selling vehicles that is building upon its industry-leading listings marketplace with both digital retail solutions and the CarOffer, LLC ("CarOffer") digital wholesale platform. The CarGurus platform gives consumers the confidence to buy and/or sell a vehicle either online or in-person, and it gives dealerships the power to accurately price, instantly acquire, effectively market, and quickly sell vehicles, all with a nationwide reach. The Company uses proprietary technology, search algorithms, and data analytics to bring trust, transparency, and competitive pricing to the automotive shopping experience.</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Company is headquartered in Cambridge, Massachusetts and was incorporated in the State of Delaware</w:t>
      </w:r>
      <w:r>
        <w:rPr>
          <w:rFonts w:ascii="Times New Roman" w:hAnsi="Times New Roman"/>
          <w:color w:val="000000"/>
          <w:sz w:val="20"/>
        </w:rPr>
        <w:t xml:space="preserve"> </w:t>
      </w:r>
      <w:r>
        <w:rPr>
          <w:rFonts w:ascii="Calibri;sans-serif" w:hAnsi="Calibri;sans-serif"/>
          <w:b w:val="false"/>
          <w:color w:val="000000"/>
          <w:sz w:val="20"/>
        </w:rPr>
        <w:t>on June 26, 2015.</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 operates principally in the United States. In the United States, it also operates as independent brands the Autolist online marketplace, which it wholly owns, and the CarOffer digital wholesale platform, in which it holds a 51% equity interest. In addition to the United States, the Company operates online marketplaces under the CarGurus brand in Canada and the United Kingdom. In the United Kingdom, it also operates as an independent brand the PistonHeads online marketplace, which it wholly owns.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Company has subsidiaries in the United States, Canada, Ireland, and the United Kingdom. Effective as of the fourth quarter of 2022 the Company revised its segment reporting from one</w:t>
      </w:r>
      <w:r>
        <w:rPr>
          <w:rFonts w:ascii="Times New Roman" w:hAnsi="Times New Roman"/>
          <w:color w:val="000000"/>
          <w:sz w:val="20"/>
        </w:rPr>
        <w:t xml:space="preserve"> </w:t>
      </w:r>
      <w:r>
        <w:rPr>
          <w:rFonts w:ascii="Calibri;sans-serif" w:hAnsi="Calibri;sans-serif"/>
          <w:b w:val="false"/>
          <w:color w:val="000000"/>
          <w:sz w:val="20"/>
        </w:rPr>
        <w:t>reportable segment to two</w:t>
      </w:r>
      <w:r>
        <w:rPr>
          <w:rFonts w:ascii="Times New Roman" w:hAnsi="Times New Roman"/>
          <w:color w:val="000000"/>
          <w:sz w:val="20"/>
        </w:rPr>
        <w:t xml:space="preserve"> </w:t>
      </w:r>
      <w:r>
        <w:rPr>
          <w:rFonts w:ascii="Calibri;sans-serif" w:hAnsi="Calibri;sans-serif"/>
          <w:b w:val="false"/>
          <w:color w:val="000000"/>
          <w:sz w:val="20"/>
        </w:rPr>
        <w:t>reportable segments – U.S. Marketplace and Digital Wholesale. See Note 12 of these Unaudited Condensed Consolidated Financial Statements (as defined below) for further segment reporting and geographic information.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pStyle w:val="TextBody"/>
        <w:bidi w:val="0"/>
        <w:spacing w:before="240" w:after="283"/>
        <w:jc w:val="left"/>
        <w:rPr>
          <w:rFonts w:ascii="Calibri;sans-serif" w:hAnsi="Calibri;sans-serif"/>
          <w:b/>
          <w:color w:val="000000"/>
          <w:sz w:val="20"/>
        </w:rPr>
      </w:pPr>
      <w:r>
        <w:rPr>
          <w:rFonts w:ascii="Calibri;sans-serif" w:hAnsi="Calibri;sans-serif"/>
          <w:b/>
          <w:color w:val="000000"/>
          <w:sz w:val="20"/>
        </w:rPr>
        <w:t>2. Summary of Significant Accounting Policies</w:t>
      </w:r>
    </w:p>
    <w:p>
      <w:pPr>
        <w:pStyle w:val="TextBody"/>
        <w:bidi w:val="0"/>
        <w:spacing w:before="240" w:after="283"/>
        <w:jc w:val="left"/>
        <w:rPr>
          <w:rFonts w:ascii="Calibri;sans-serif" w:hAnsi="Calibri;sans-serif"/>
          <w:b w:val="false"/>
          <w:i/>
          <w:color w:val="000000"/>
          <w:sz w:val="20"/>
        </w:rPr>
      </w:pPr>
      <w:r>
        <w:rPr>
          <w:rFonts w:ascii="Calibri;sans-serif" w:hAnsi="Calibri;sans-serif"/>
          <w:b w:val="false"/>
          <w:i/>
          <w:color w:val="000000"/>
          <w:sz w:val="20"/>
        </w:rPr>
        <w:t>Basis of Presentation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accompanying interim condensed consolidated financial statements are unaudited (the “Unaudited Condensed Consolidated Financial Statements”). The Unaudited Condensed Consolidated Financial Statements and related disclosures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Unaudited Condensed Consolidated Financial Statements have also been prepared pursuant to the rules and regulations of the U.S.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September 30, 2023 and December 31, 2022, results of operations, comprehensive income, and changes in stockholders’ equity for the three months ended September 30, 2023 and 2022 and for the nine months ended September 30, 2023 and 2022, and cash flows for the nine months ended September 30, 2023 and 2022. These interim period results are not necessarily indicative of the results to be expected for any other interim period or the full year.</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Unaudited Condensed Consolidated Financial Statements should be read in conjunction with the Company’s audited consolidated financial statements and the notes thereto included in the Company’s Annual Report on Form 10-K for the year ended December 31, 2022, filed with the SEC on March 1, 2023 (the “Annual Report”).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While the Company disclosed interest income within other income (expense), net in the Unaudited Condensed Consolidated Income Statements in the Company's Quarterly Report on Form 10-Q for the quarter ended September 30, 2022, filed with the SEC on November 8, 2022, the accompanying Unaudited Condensed Consolidated Income Statements for the quarter ended September 30, 2022 present interest income separately from other income (expense), net to conform to the current year presentation, as interest income met the threshold for separate disclosure.</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Principles of Consolidation</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Unaudited Condensed Consolidated Financial Statements include the accounts of the Company and its subsidiaries. All intercompany balances and transactions have been eliminated in consolidation.</w:t>
      </w:r>
      <w:r>
        <w:rPr>
          <w:rFonts w:ascii="Times New Roman" w:hAnsi="Times New Roman"/>
          <w:color w:val="000000"/>
          <w:sz w:val="20"/>
        </w:rPr>
        <w:t xml:space="preserve"> </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Subsequent Event Considerations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 other than those described in Note 13 of these Unaudited Condensed Consolidated Financial Statements.</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Use of Estimates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Critical estimates relied upon in preparing the Unaudited Condensed Consolidated Financial Statements</w:t>
      </w:r>
      <w:r>
        <w:rPr>
          <w:rFonts w:ascii="Times New Roman" w:hAnsi="Times New Roman"/>
          <w:color w:val="000000"/>
          <w:sz w:val="20"/>
        </w:rPr>
        <w:t xml:space="preserve"> </w:t>
      </w:r>
      <w:r>
        <w:rPr>
          <w:rFonts w:ascii="Calibri;sans-serif" w:hAnsi="Calibri;sans-serif"/>
          <w:b w:val="false"/>
          <w:color w:val="000000"/>
          <w:sz w:val="20"/>
        </w:rPr>
        <w:t>include the determination of sales allowance and variable consideration in the Company’s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the Company’s net deferred tax assets and related valuation allowance, the valuation of inventory, and the valuation of equity and liability-classified compensation awards. Accordingly, the Company considers these to be its critical accounting estimates, and believes that of the Company’s significant accounting policies, these involve the greatest degree of judgment and complexity.</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Concentration of Credit Risk</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Company has no significant off-balance sheet risk, such as foreign exchange contracts, option contracts, or other foreign hedging arrangements.</w:t>
      </w:r>
      <w:r>
        <w:rPr>
          <w:rFonts w:ascii="Times New Roman" w:hAnsi="Times New Roman"/>
          <w:color w:val="000000"/>
          <w:sz w:val="20"/>
        </w:rPr>
        <w:t xml:space="preserve"> </w:t>
      </w:r>
      <w:r>
        <w:rPr>
          <w:rFonts w:ascii="Calibri;sans-serif" w:hAnsi="Calibri;sans-serif"/>
          <w:b w:val="false"/>
          <w:color w:val="000000"/>
          <w:sz w:val="20"/>
        </w:rPr>
        <w:t>Financial instruments that potentially expose the Company to concentrations of credit risk consist primarily of cash, cash equivalents, short-term investments, trade accounts receivable, and other receivables.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 maintains its cash, cash equivalents, and short-term investments principally with accredited financial institutions of high credit standing. Although the Company deposits its cash, cash equivalents, and short-term investments with multiple financial institutions, its deposits with each such financial institution exceed governmental insured limits.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 routinely assesses the creditworthiness of its customers and does not require collateral. The Company generally has not experienced any material losses related to receivables from individual customers or groups of customers. The majority of the Company's accounts receivable results from wholesale and product revenue transactions. The Company has had no material losses related to wholesale and product receivables as the third-party transaction processor does not release the title to the vehicle until successfully collecting funds from the buying dealer. Titling is handled by the Company's third-party transaction processor and titles are held in escrow until it collects funds from the buying dealer (i.e., title is legally transferred from the selling party to the buying party upon signing of bill of sale, but title is held in escrow by the third-party transaction processor until payment is received). Due to these factors, no additional credit risk beyond amounts provided for collection losses is believed by management to be probable in the Company’s accounts receivable and other receivables.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no</w:t>
      </w:r>
      <w:r>
        <w:rPr>
          <w:rFonts w:ascii="Times New Roman" w:hAnsi="Times New Roman"/>
          <w:color w:val="000000"/>
          <w:sz w:val="20"/>
        </w:rPr>
        <w:t xml:space="preserve"> </w:t>
      </w:r>
      <w:r>
        <w:rPr>
          <w:rFonts w:ascii="Calibri;sans-serif" w:hAnsi="Calibri;sans-serif"/>
          <w:b w:val="false"/>
          <w:color w:val="000000"/>
          <w:sz w:val="20"/>
        </w:rPr>
        <w:t>individual customer accounted for more than 10% of net accounts receivable and other receivables. As of December 31, 2022, one</w:t>
      </w:r>
      <w:r>
        <w:rPr>
          <w:rFonts w:ascii="Times New Roman" w:hAnsi="Times New Roman"/>
          <w:color w:val="000000"/>
          <w:sz w:val="20"/>
        </w:rPr>
        <w:t xml:space="preserve"> </w:t>
      </w:r>
      <w:r>
        <w:rPr>
          <w:rFonts w:ascii="Calibri;sans-serif" w:hAnsi="Calibri;sans-serif"/>
          <w:b w:val="false"/>
          <w:color w:val="000000"/>
          <w:sz w:val="20"/>
        </w:rPr>
        <w:t>customer accounted for 13% of net accounts receivable. The remainder of the accounts receivable was dispersed among more than 1,000</w:t>
      </w:r>
      <w:r>
        <w:rPr>
          <w:rFonts w:ascii="Times New Roman" w:hAnsi="Times New Roman"/>
          <w:color w:val="000000"/>
          <w:sz w:val="20"/>
        </w:rPr>
        <w:t xml:space="preserve"> </w:t>
      </w:r>
      <w:r>
        <w:rPr>
          <w:rFonts w:ascii="Calibri;sans-serif" w:hAnsi="Calibri;sans-serif"/>
          <w:b w:val="false"/>
          <w:color w:val="000000"/>
          <w:sz w:val="20"/>
        </w:rPr>
        <w:t>customers. The customer who accounted for greater than 10% of net accounts receivable is related to wholesale and product receivables. The collection risk associated with this customer is mitigated because, as discussed above, the third-party transaction processor does not release the title on vehicles until funds are successfully collected. Furthermore, there is no significant credit risk with respect to accounts receivable because, other than the receivables associated with this customer, credit risk with respect to accounts receivable is dispersed due to the large number of customers.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and nine months ended September 30, 2023, no</w:t>
      </w:r>
      <w:r>
        <w:rPr>
          <w:rFonts w:ascii="Times New Roman" w:hAnsi="Times New Roman"/>
          <w:color w:val="000000"/>
          <w:sz w:val="20"/>
        </w:rPr>
        <w:t xml:space="preserve"> </w:t>
      </w:r>
      <w:r>
        <w:rPr>
          <w:rFonts w:ascii="Calibri;sans-serif" w:hAnsi="Calibri;sans-serif"/>
          <w:b w:val="false"/>
          <w:color w:val="000000"/>
          <w:sz w:val="20"/>
        </w:rPr>
        <w:t>individual customer accounted for more than 10% of total revenue. For the three and nine months ended September 30, 2022, no</w:t>
      </w:r>
      <w:r>
        <w:rPr>
          <w:rFonts w:ascii="Times New Roman" w:hAnsi="Times New Roman"/>
          <w:color w:val="000000"/>
          <w:sz w:val="20"/>
        </w:rPr>
        <w:t xml:space="preserve"> </w:t>
      </w:r>
      <w:r>
        <w:rPr>
          <w:rFonts w:ascii="Calibri;sans-serif" w:hAnsi="Calibri;sans-serif"/>
          <w:b w:val="false"/>
          <w:color w:val="000000"/>
          <w:sz w:val="20"/>
        </w:rPr>
        <w:t>individual customer accounted for more than 10% of total revenue.</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Company is exposed to credit losses primarily through its trade accounts receivable, which includes receivables in transit, net of payables due, from a third-party transaction processor. The third-party transaction processor collects customer payments on the Company's behalf and remits them to the Company. Customer payments received by the third-party transaction processor, but not remitted to the Company as of period end are deemed to be receivables in transit, net of payables due. Additionally, the third-party transaction processor provides payments in advance for certain selling dealers. If the third-party transaction processor does not receive buying dealer payments associated with the transaction paid in advance, the Company would guarantee losses incurred by the third-party transaction processor and the balance would be deducted from future remittances to the Company. To date, losses associated with these guarantees have not been material.</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 offsets trade accounts receivables in transit, net of payables due, from the third-party transaction processor with payments received in advance from the third-party transaction processor as it has the right of offset. At any point in time, the Company could have amounts due from the third-party transaction processor for funds the third-party transaction processor has collected from buying dealers and has not yet remitted to the Company (i.e., receivables in transit, net of payables due), as well as amounts paid by the third-party transaction processor to the Company in advance of collecting payments from buying dealers (i.e., payments received in advance). Therefore, as the Company has the right to offset, the Company can either have a net receivable balance due from the third-party transaction processor which is recognized within accounts receivable, net in the Unaudited Condensed Consolidated Balance Sheets, or the Company can have a net liability which is recognized within accrued expenses, accrued income taxes, and other current liabilities in the Unaudited Condensed Consolidated Balance Sheets if the advance payments exceed the receivable position from the third-party transaction processor as of the balance sheet date. Payments received in advance from the third-party transaction processor are presented as cash flows from financing activities in the Unaudited Condensed Consolidated Statements of Cash Flows.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trade accounts receivable from receivables in transit, net of payables due, from the third-party transaction processor was $6,606, offset by payments received in advance of $1,967, which resulted in a net receivable of $4,639</w:t>
      </w:r>
      <w:r>
        <w:rPr>
          <w:rFonts w:ascii="Times New Roman" w:hAnsi="Times New Roman"/>
          <w:color w:val="000000"/>
          <w:sz w:val="20"/>
        </w:rPr>
        <w:t xml:space="preserve"> </w:t>
      </w:r>
      <w:r>
        <w:rPr>
          <w:rFonts w:ascii="Calibri;sans-serif" w:hAnsi="Calibri;sans-serif"/>
          <w:b w:val="false"/>
          <w:color w:val="000000"/>
          <w:sz w:val="20"/>
        </w:rPr>
        <w:t>recognized within accounts receivable, net in the Unaudited Condensed Consolidated Balance Sheets. As of December 31, 2022, trade accounts receivable from receivables in transit, net of payables due, from the third-party transaction processor was $7,122, offset by payments received in advance of $6,490, which resulted in a net receivable of $632</w:t>
      </w:r>
      <w:r>
        <w:rPr>
          <w:rFonts w:ascii="Times New Roman" w:hAnsi="Times New Roman"/>
          <w:color w:val="000000"/>
          <w:sz w:val="20"/>
        </w:rPr>
        <w:t xml:space="preserve"> </w:t>
      </w:r>
      <w:r>
        <w:rPr>
          <w:rFonts w:ascii="Calibri;sans-serif" w:hAnsi="Calibri;sans-serif"/>
          <w:b w:val="false"/>
          <w:color w:val="000000"/>
          <w:sz w:val="20"/>
        </w:rPr>
        <w:t>recognized within accounts receivable, net in the Unaudited Condensed Consolidated Balance Sheets.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and December 31, 2022, $8,460</w:t>
      </w:r>
      <w:r>
        <w:rPr>
          <w:rFonts w:ascii="Times New Roman" w:hAnsi="Times New Roman"/>
          <w:color w:val="000000"/>
          <w:sz w:val="20"/>
        </w:rPr>
        <w:t xml:space="preserve"> </w:t>
      </w:r>
      <w:r>
        <w:rPr>
          <w:rFonts w:ascii="Calibri;sans-serif" w:hAnsi="Calibri;sans-serif"/>
          <w:b w:val="false"/>
          <w:color w:val="000000"/>
          <w:sz w:val="20"/>
        </w:rPr>
        <w:t>and $7,150, respectively, was included in net accounts receivable, representing unbilled accounts receivable relating primarily to advertising customers invoiced in the period subsequent to services rendered.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b w:val="false"/>
          <w:i/>
          <w:color w:val="000000"/>
          <w:sz w:val="20"/>
        </w:rPr>
      </w:pPr>
      <w:r>
        <w:rPr>
          <w:rFonts w:ascii="Calibri;sans-serif" w:hAnsi="Calibri;sans-serif"/>
          <w:b w:val="false"/>
          <w:i/>
          <w:color w:val="000000"/>
          <w:sz w:val="20"/>
        </w:rPr>
        <w:t>Significant Accounting Policies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Unaudited Condensed Consolidated Financial Statements reflect the application of certain significant accounting policies as described below and elsewhere in these notes to the Unaudited Condensed Consolidated Financial Statements. As of September 30, 2023, there have been no material changes in the Company’s significant accounting policies, which are detailed in the Annual Report, other than those described below.</w:t>
      </w:r>
    </w:p>
    <w:p>
      <w:pPr>
        <w:pStyle w:val="TextBody"/>
        <w:bidi w:val="0"/>
        <w:spacing w:before="240" w:after="283"/>
        <w:ind w:left="0" w:right="0" w:firstLine="490"/>
        <w:jc w:val="both"/>
        <w:rPr>
          <w:rFonts w:ascii="Calibri;sans-serif" w:hAnsi="Calibri;sans-serif"/>
          <w:b w:val="false"/>
          <w:i/>
          <w:color w:val="000000"/>
          <w:sz w:val="20"/>
        </w:rPr>
      </w:pPr>
      <w:r>
        <w:rPr>
          <w:rFonts w:ascii="Calibri;sans-serif" w:hAnsi="Calibri;sans-serif"/>
          <w:b w:val="false"/>
          <w:i/>
          <w:color w:val="000000"/>
          <w:sz w:val="20"/>
        </w:rPr>
        <w:t>Cash, Cash Equivalents, and Investments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cash, cash equivalents and investments primarily consist of cash on deposit with banks, amounts held in interest-bearing money market accounts, and money market funds. As of December 31, 2022, cash and cash equivalents primarily consist of cash on deposit with banks and amounts held in interest-bearing money market accounts.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Cash equivalents are carried at cost, which approximates their fair market value.</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Company’s investment policy, which was approved by the Audit Committee of the Company’s Board of Directors (the “Board”), permits investments in fixed income securities, including U.S. government and agency securities, non</w:t>
        <w:noBreakHyphen/>
        <w:t>U.S. government securities, money market instruments, commercial paper, certificates of deposit, corporate bonds, and asset</w:t>
        <w:noBreakHyphen/>
        <w:t>backed securities.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 considers all highly liquid investments with an original maturity of 90 days or less at the date of purchase to be cash equivalents. Investments not classified as cash equivalents with maturities less than one year from the balance sheet date are classified as short</w:t>
        <w:noBreakHyphen/>
        <w:t>term investments, while investments with maturities in excess of one year from the balance sheet date are classified as long</w:t>
        <w:noBreakHyphen/>
        <w:t>term investments. Management determines the appropriate classification of investments at the time of purchase, and re</w:t>
        <w:noBreakHyphen/>
        <w:t>evaluates such determination at each balance sheet date.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Investments in equity securities with readily determinable fair values are recognized at fair value based on quoted market prices within investments in the Unaudited Condensed Consolidated Balance Sheets. Investments in held-to-maturity debt securities are recognized at amortized cost within investments in the Unaudited Condensed Consolidated Balance Sheets. The Company adjusts the cost of investments in held-to-maturity debt securities for amortization of premiums and accretion of discounts to maturity, if any. Investments in trading and available-for-sale debt securities are recognized at fair value within investments in the Unaudited Condensed Consolidated Balance Sheets.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Purchases of equity securities and debt securities are recognized within investing activities in the Unaudited Condensed Consolidated Statements of Cash Flows.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Dividend income from equity securities is recognized within interest income in the Unaudited Condensed Consolidated Income Statements. Reinvested proceeds from dividend income are recognized within purchases of investments in investing activities in the Unaudited Condensed Consolidated Statements of Cash Flows.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revaluation of equity securities and debt securities results in an unrealized gain or loss. Unrealized gains or losses on equity securities and trading debt securities are recognized within other expense, net in the Unaudited Condensed Consolidated Income Statements and backed out of operating activities in the Unaudited Condensed Consolidated Statements of Cash Flows. Unrealized gains or losses on available-for-sale debt securities are recognized within other comprehensive income in the Unaudited Condensed Consolidated Statements of Comprehensive Income. Interest on held-to-maturity debt securities is recognized within interest income in the Unaudited Condensed Consolidated Income Statements.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Proceeds from sale of equity securities and debt securities are recognized within investing activities in the Unaudited Condensed Consolidated Statements of Cash Flows. Realized gains and losses on sale of equity securities and debt securities are recognized within other (expense) income, net in the Unaudited Condensed Consolidated Income Statements, backed out of operating activities in the Unaudited Condensed Consolidated Cash Flows, and recognized within proceeds from sale of equity securities and debt securities in investing activities in the Unaudited Condensed Consolidated Statements of Cash Flows.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Debt securities are reviewed for other</w:t>
        <w:noBreakHyphen/>
        <w:t>than</w:t>
        <w:noBreakHyphen/>
        <w:t>temporary impairment whenever the fair value of an investment is less than the amortized cost and evidence indicates that an investment’s carrying amount is not recoverable within a reasonable period of time. Other</w:t>
        <w:noBreakHyphen/>
        <w:t>than</w:t>
        <w:noBreakHyphen/>
        <w:t>temporary impairments of debt securities are recognized within other expense, net in the Unaudited Condensed Consolidated Income Statements if the Company has experienced a credit loss or if it is more likely than not that the Company will be required to sell the investment before recovery of the amortized cost basis. Evidence considered in this assessment includes reasons for the impairment, compliance with the Company’s investment policy, the severity and duration of the impairment, and changes in value subsequent to the end of the period.</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of September 30, 2023, the Company held short-term investments in equity securities.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December 31, 2022, the Company held no</w:t>
      </w:r>
      <w:r>
        <w:rPr>
          <w:rFonts w:ascii="Times New Roman" w:hAnsi="Times New Roman"/>
          <w:color w:val="000000"/>
          <w:sz w:val="20"/>
        </w:rPr>
        <w:t xml:space="preserve"> </w:t>
      </w:r>
      <w:r>
        <w:rPr>
          <w:rFonts w:ascii="Calibri;sans-serif" w:hAnsi="Calibri;sans-serif"/>
          <w:b w:val="false"/>
          <w:color w:val="000000"/>
          <w:sz w:val="20"/>
        </w:rPr>
        <w:t>investments.</w:t>
      </w:r>
    </w:p>
    <w:p>
      <w:pPr>
        <w:pStyle w:val="TextBody"/>
        <w:bidi w:val="0"/>
        <w:spacing w:before="240" w:after="283"/>
        <w:jc w:val="left"/>
        <w:rPr>
          <w:rFonts w:ascii="Calibri;sans-serif" w:hAnsi="Calibri;sans-serif"/>
          <w:b w:val="false"/>
          <w:i/>
          <w:color w:val="000000"/>
          <w:sz w:val="20"/>
        </w:rPr>
      </w:pPr>
      <w:r>
        <w:rPr>
          <w:rFonts w:ascii="Calibri;sans-serif" w:hAnsi="Calibri;sans-serif"/>
          <w:b w:val="false"/>
          <w:i/>
          <w:color w:val="000000"/>
          <w:sz w:val="20"/>
        </w:rPr>
        <w:t>Recent Accounting Pronouncements Not Yet Adopted</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September 30, 2023, there are no new material accounting pronouncements that the Company is considering adopting, other than those described below.</w:t>
      </w:r>
    </w:p>
    <w:p>
      <w:pPr>
        <w:pStyle w:val="TextBody"/>
        <w:bidi w:val="0"/>
        <w:spacing w:before="240" w:after="283"/>
        <w:ind w:left="490" w:right="0" w:hanging="0"/>
        <w:jc w:val="left"/>
        <w:rPr>
          <w:rFonts w:ascii="Calibri;sans-serif" w:hAnsi="Calibri;sans-serif"/>
          <w:b w:val="false"/>
          <w:i/>
          <w:color w:val="000000"/>
          <w:sz w:val="20"/>
        </w:rPr>
      </w:pPr>
      <w:r>
        <w:rPr>
          <w:rFonts w:ascii="Calibri;sans-serif" w:hAnsi="Calibri;sans-serif"/>
          <w:b w:val="false"/>
          <w:i/>
          <w:color w:val="000000"/>
          <w:sz w:val="20"/>
        </w:rPr>
        <w:t>Disclosure Improvements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In October 2023, the FASB issued ASU 2023-06,</w:t>
      </w:r>
      <w:r>
        <w:rPr>
          <w:rFonts w:ascii="Times New Roman" w:hAnsi="Times New Roman"/>
          <w:color w:val="000000"/>
          <w:sz w:val="20"/>
        </w:rPr>
        <w:t xml:space="preserve"> </w:t>
      </w:r>
      <w:r>
        <w:rPr>
          <w:rFonts w:ascii="Calibri;sans-serif" w:hAnsi="Calibri;sans-serif"/>
          <w:b w:val="false"/>
          <w:i/>
          <w:color w:val="000000"/>
          <w:sz w:val="20"/>
        </w:rPr>
        <w:t>Disclosure Improvements – Codification Amendments in Response to the SEC's Disclosure Update and Simplification Initiative</w:t>
      </w:r>
      <w:r>
        <w:rPr>
          <w:rFonts w:ascii="Times New Roman" w:hAnsi="Times New Roman"/>
          <w:color w:val="000000"/>
          <w:sz w:val="20"/>
        </w:rPr>
        <w:t xml:space="preserve"> </w:t>
      </w:r>
      <w:r>
        <w:rPr>
          <w:rFonts w:ascii="Calibri;sans-serif" w:hAnsi="Calibri;sans-serif"/>
          <w:b w:val="false"/>
          <w:color w:val="000000"/>
          <w:sz w:val="20"/>
        </w:rPr>
        <w:t>("ASU 2023-06"). ASU 2023-06 modifies the disclosure and presentation requirements for a variety of topics in the FASB ASC. The Company is currently evaluating ASU 2023-06 and the impact on its future consolidated financial statements.</w:t>
      </w:r>
    </w:p>
    <w:p>
      <w:pPr>
        <w:pStyle w:val="TextBody"/>
        <w:bidi w:val="0"/>
        <w:spacing w:before="240" w:after="283"/>
        <w:jc w:val="left"/>
        <w:rPr>
          <w:rFonts w:ascii="Calibri;sans-serif" w:hAnsi="Calibri;sans-serif"/>
          <w:b/>
          <w:color w:val="000000"/>
          <w:sz w:val="20"/>
        </w:rPr>
      </w:pPr>
      <w:r>
        <w:rPr>
          <w:rFonts w:ascii="Calibri;sans-serif" w:hAnsi="Calibri;sans-serif"/>
          <w:b/>
          <w:color w:val="000000"/>
          <w:sz w:val="20"/>
        </w:rPr>
        <w:t>3. Revenue Recognition</w:t>
      </w:r>
    </w:p>
    <w:p>
      <w:pPr>
        <w:pStyle w:val="TextBody"/>
        <w:bidi w:val="0"/>
        <w:ind w:left="0" w:right="0" w:firstLine="490"/>
        <w:jc w:val="both"/>
        <w:rPr/>
      </w:pPr>
      <w:r>
        <w:rPr/>
        <w:t> </w:t>
      </w:r>
    </w:p>
    <w:p>
      <w:pPr>
        <w:pStyle w:val="TextBody"/>
        <w:bidi w:val="0"/>
        <w:ind w:left="0" w:right="0" w:firstLine="490"/>
        <w:jc w:val="both"/>
        <w:rPr>
          <w:rFonts w:ascii="Calibri;sans-serif" w:hAnsi="Calibri;sans-serif"/>
          <w:b w:val="false"/>
          <w:color w:val="000000"/>
          <w:sz w:val="20"/>
        </w:rPr>
      </w:pPr>
      <w:r>
        <w:rPr>
          <w:rFonts w:ascii="Calibri;sans-serif" w:hAnsi="Calibri;sans-serif"/>
          <w:b w:val="false"/>
          <w:color w:val="000000"/>
          <w:sz w:val="20"/>
        </w:rPr>
        <w:t>The following table summarizes revenue from contracts with customers by services and products for the three months ended September 30, 2023 and 2022 and for the nine months ended September 30, 2023 and 2022:</w:t>
      </w:r>
    </w:p>
    <w:p>
      <w:pPr>
        <w:pStyle w:val="TextBody"/>
        <w:bidi w:val="0"/>
        <w:ind w:left="0" w:right="0" w:firstLine="490"/>
        <w:jc w:val="both"/>
        <w:rPr/>
      </w:pPr>
      <w:r>
        <w:rPr/>
        <w:t> </w:t>
      </w:r>
    </w:p>
    <w:tbl>
      <w:tblPr>
        <w:tblW w:w="7667" w:type="dxa"/>
        <w:jc w:val="left"/>
        <w:tblInd w:w="0" w:type="dxa"/>
        <w:tblLayout w:type="fixed"/>
        <w:tblCellMar>
          <w:top w:w="28" w:type="dxa"/>
          <w:left w:w="28" w:type="dxa"/>
          <w:bottom w:w="28" w:type="dxa"/>
          <w:right w:w="28" w:type="dxa"/>
        </w:tblCellMar>
      </w:tblPr>
      <w:tblGrid>
        <w:gridCol w:w="1936"/>
        <w:gridCol w:w="146"/>
        <w:gridCol w:w="211"/>
        <w:gridCol w:w="781"/>
        <w:gridCol w:w="146"/>
        <w:gridCol w:w="146"/>
        <w:gridCol w:w="211"/>
        <w:gridCol w:w="781"/>
        <w:gridCol w:w="146"/>
        <w:gridCol w:w="146"/>
        <w:gridCol w:w="211"/>
        <w:gridCol w:w="781"/>
        <w:gridCol w:w="146"/>
        <w:gridCol w:w="146"/>
        <w:gridCol w:w="211"/>
        <w:gridCol w:w="931"/>
        <w:gridCol w:w="5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177,909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165,309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515,986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492,524</w:t>
            </w:r>
          </w:p>
        </w:tc>
        <w:tc>
          <w:tcPr>
            <w:tcW w:w="591" w:type="dxa"/>
            <w:tcBorders/>
            <w:shd w:fill="CFF0FC"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Dealer-to-Dealer</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70,741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273,296</w:t>
            </w:r>
          </w:p>
        </w:tc>
        <w:tc>
          <w:tcPr>
            <w:tcW w:w="591" w:type="dxa"/>
            <w:tcBorders/>
            <w:shd w:fill="FFFFFF" w:val="clear"/>
            <w:vAlign w:val="center"/>
          </w:tcPr>
          <w:p>
            <w:pPr>
              <w:pStyle w:val="TableContents"/>
              <w:bidi w:val="0"/>
              <w:spacing w:before="0" w:after="283"/>
              <w:jc w:val="left"/>
              <w:rPr/>
            </w:pPr>
            <w:r>
              <w:rPr/>
              <w:t> </w:t>
            </w:r>
          </w:p>
        </w:tc>
      </w:tr>
      <w:tr>
        <w:trPr/>
        <w:tc>
          <w:tcPr>
            <w:tcW w:w="193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Instant Max Cash Offer</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190,404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90,188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602,471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36" w:type="dxa"/>
            <w:tcBorders/>
            <w:shd w:fill="FFFFFF"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219,419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426,454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691,119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1,368,291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 provides disaggregation of revenue by services and products, by income statement presentation, by segment, and by geographic region.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Revenue by services and products is disaggregated by (i) marketplace services, (ii) Dealer-to-Dealer services and products, and (iii) Instant Max Cash Offer ("IMCO") services and products as disclosed above.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Revenue by income statement presentation is disaggregated by (i) marketplace, (ii) wholesale, and (iii) product revenue sources as disclosed in the Unaudited Condensed Consolidated Income Statements. Marketplace services are included within marketplace revenue in the Unaudited Condensed Consolidated Income Statements. Dealer-to-Dealer and IMCO services and products are included within both wholesale revenue and product revenue in the Unaudited Condensed Consolidated Income Statements.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Revenue by segment is disaggregated by (i) U.S. Marketplace and (ii) Digital Wholesale segments as disclosed in Note 12 of these Unaudited Condensed Consolidated Financial Statements. Marketplace services are included in the U.S. Marketplace segment and in the Other category of segment reporting. Dealer-to-Dealer and IMCO services and products are included in the Digital Wholesale segment.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Revenue by geographic region is disaggregated by (i) United States and (ii) International regions as disclosed in Note 12 of these Unaudited Condensed Consolidated Financial Statements. Marketplace services are provided in the United States and International regions. Dealer-to-Dealer and IMCO services and products are provided in the United States region.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 believes these categories best depict how the nature, amount, timing, and uncertainty of revenue and cash flows are affected by economic factors.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 xml:space="preserve">ASC Topic 606, </w:t>
      </w:r>
      <w:r>
        <w:rPr>
          <w:rFonts w:ascii="Calibri;sans-serif" w:hAnsi="Calibri;sans-serif"/>
          <w:b w:val="false"/>
          <w:i/>
          <w:color w:val="000000"/>
          <w:sz w:val="20"/>
        </w:rPr>
        <w:t>Revenue from Contracts with Customer</w:t>
      </w:r>
      <w:r>
        <w:rPr>
          <w:rFonts w:ascii="Calibri;sans-serif" w:hAnsi="Calibri;sans-serif"/>
          <w:b w:val="false"/>
          <w:color w:val="000000"/>
          <w:sz w:val="20"/>
        </w:rPr>
        <w:t>s (“ASC 606”), requires that the Company disclose the aggregate amount of transaction price that is allocated to performance obligations that have not yet been satisfied as of the relevant quarter end.</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contracts with an original expected duration greater than one year, the aggregate amount of the transaction price allocated to the performance obligations that were unsatisfied as of September 30, 2023 was approximately $28.7</w:t>
      </w:r>
      <w:r>
        <w:rPr>
          <w:rFonts w:ascii="Times New Roman" w:hAnsi="Times New Roman"/>
          <w:color w:val="000000"/>
          <w:sz w:val="20"/>
        </w:rPr>
        <w:t xml:space="preserve"> </w:t>
      </w:r>
      <w:r>
        <w:rPr>
          <w:rFonts w:ascii="Calibri;sans-serif" w:hAnsi="Calibri;sans-serif"/>
          <w:b w:val="false"/>
          <w:color w:val="000000"/>
          <w:sz w:val="20"/>
        </w:rPr>
        <w:t>million, which the Company expects to recognize over the next twelve months.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contracts with an original expected duration of one year or less, the Company has applied the practical expedient available under ASC 606 to not disclose the amount of transaction price allocated to unsatisfied performance obligations as of September 30, 2023. For performance obligations not satisfied as of September 30, 2023, and to which this expedient applies, the nature of the performance obligations, the variable consideration, and any consideration from contracts with customers not included in the transaction price is consistent with performance obligations satisfied as of September 30, 2023.</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months ended September 30, 2023 and 2022, revenue recognized from amounts included in deferred revenue at the beginning of the period was $21,267</w:t>
      </w:r>
      <w:r>
        <w:rPr>
          <w:rFonts w:ascii="Times New Roman" w:hAnsi="Times New Roman"/>
          <w:color w:val="000000"/>
          <w:sz w:val="20"/>
        </w:rPr>
        <w:t xml:space="preserve"> </w:t>
      </w:r>
      <w:r>
        <w:rPr>
          <w:rFonts w:ascii="Calibri;sans-serif" w:hAnsi="Calibri;sans-serif"/>
          <w:b w:val="false"/>
          <w:color w:val="000000"/>
          <w:sz w:val="20"/>
        </w:rPr>
        <w:t>and $15,071, respectively. For the nine months ended September 30, 2023 and 2022, revenue recognized from amounts included in deferred revenue at the beginning of the period was $12,249</w:t>
      </w:r>
      <w:r>
        <w:rPr>
          <w:rFonts w:ascii="Times New Roman" w:hAnsi="Times New Roman"/>
          <w:color w:val="000000"/>
          <w:sz w:val="20"/>
        </w:rPr>
        <w:t xml:space="preserve"> </w:t>
      </w:r>
      <w:r>
        <w:rPr>
          <w:rFonts w:ascii="Calibri;sans-serif" w:hAnsi="Calibri;sans-serif"/>
          <w:b w:val="false"/>
          <w:color w:val="000000"/>
          <w:sz w:val="20"/>
        </w:rPr>
        <w:t>and $12,784, respectively.</w:t>
      </w:r>
    </w:p>
    <w:p>
      <w:pPr>
        <w:pStyle w:val="TextBody"/>
        <w:pBdr/>
        <w:bidi w:val="0"/>
        <w:spacing w:before="240" w:after="283"/>
        <w:ind w:left="0" w:right="0" w:hanging="360"/>
        <w:jc w:val="both"/>
        <w:rPr>
          <w:rFonts w:ascii="Calibri;sans-serif" w:hAnsi="Calibri;sans-serif"/>
          <w:b/>
          <w:color w:val="000000"/>
          <w:sz w:val="20"/>
        </w:rPr>
      </w:pPr>
      <w:r>
        <w:rPr>
          <w:rFonts w:ascii="Calibri;sans-serif" w:hAnsi="Calibri;sans-serif"/>
          <w:b/>
          <w:color w:val="000000"/>
          <w:sz w:val="20"/>
        </w:rPr>
        <w:t>4. Fair Value of Financial Instruments</w:t>
      </w:r>
    </w:p>
    <w:p>
      <w:pPr>
        <w:pStyle w:val="TextBody"/>
        <w:bidi w:val="0"/>
        <w:spacing w:before="240" w:after="283"/>
        <w:ind w:left="0" w:right="0" w:firstLine="490"/>
        <w:jc w:val="left"/>
        <w:rPr>
          <w:rFonts w:ascii="Calibri;sans-serif" w:hAnsi="Calibri;sans-serif"/>
          <w:b w:val="false"/>
          <w:color w:val="000000"/>
          <w:sz w:val="20"/>
        </w:rPr>
      </w:pPr>
      <w:r>
        <w:rPr>
          <w:rFonts w:ascii="Calibri;sans-serif" w:hAnsi="Calibri;sans-serif"/>
          <w:b w:val="false"/>
          <w:color w:val="000000"/>
          <w:sz w:val="20"/>
        </w:rPr>
        <w:t>As of September 30, 2023 and December 31, 2022, assets measured at fair value on a recurring basis consist of the following:</w:t>
      </w:r>
    </w:p>
    <w:p>
      <w:pPr>
        <w:pStyle w:val="TextBody"/>
        <w:bidi w:val="0"/>
        <w:ind w:left="0" w:right="0" w:firstLine="490"/>
        <w:jc w:val="left"/>
        <w:rPr/>
      </w:pPr>
      <w:r>
        <w:rPr/>
        <w:t> </w:t>
      </w:r>
    </w:p>
    <w:tbl>
      <w:tblPr>
        <w:tblW w:w="8706" w:type="dxa"/>
        <w:jc w:val="left"/>
        <w:tblInd w:w="0" w:type="dxa"/>
        <w:tblLayout w:type="fixed"/>
        <w:tblCellMar>
          <w:top w:w="28" w:type="dxa"/>
          <w:left w:w="28" w:type="dxa"/>
          <w:bottom w:w="28" w:type="dxa"/>
          <w:right w:w="28" w:type="dxa"/>
        </w:tblCellMar>
      </w:tblPr>
      <w:tblGrid>
        <w:gridCol w:w="2026"/>
        <w:gridCol w:w="146"/>
        <w:gridCol w:w="296"/>
        <w:gridCol w:w="1099"/>
        <w:gridCol w:w="146"/>
        <w:gridCol w:w="146"/>
        <w:gridCol w:w="510"/>
        <w:gridCol w:w="840"/>
        <w:gridCol w:w="146"/>
        <w:gridCol w:w="146"/>
        <w:gridCol w:w="578"/>
        <w:gridCol w:w="952"/>
        <w:gridCol w:w="146"/>
        <w:gridCol w:w="146"/>
        <w:gridCol w:w="211"/>
        <w:gridCol w:w="781"/>
        <w:gridCol w:w="3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2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Mutual funds</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9"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177,206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177,206</w:t>
            </w:r>
          </w:p>
        </w:tc>
        <w:tc>
          <w:tcPr>
            <w:tcW w:w="391" w:type="dxa"/>
            <w:tcBorders/>
            <w:shd w:fill="FFFFFF" w:val="clear"/>
            <w:vAlign w:val="center"/>
          </w:tcPr>
          <w:p>
            <w:pPr>
              <w:pStyle w:val="TableContents"/>
              <w:bidi w:val="0"/>
              <w:spacing w:before="0" w:after="283"/>
              <w:jc w:val="left"/>
              <w:rPr/>
            </w:pPr>
            <w:r>
              <w:rPr/>
              <w:t> </w:t>
            </w:r>
          </w:p>
        </w:tc>
      </w:tr>
      <w:tr>
        <w:trPr/>
        <w:tc>
          <w:tcPr>
            <w:tcW w:w="202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2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Mutual funds</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91,824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91,824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269,030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269,030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tbl>
      <w:tblPr>
        <w:tblW w:w="8166" w:type="dxa"/>
        <w:jc w:val="left"/>
        <w:tblInd w:w="0" w:type="dxa"/>
        <w:tblLayout w:type="fixed"/>
        <w:tblCellMar>
          <w:top w:w="28" w:type="dxa"/>
          <w:left w:w="28" w:type="dxa"/>
          <w:bottom w:w="28" w:type="dxa"/>
          <w:right w:w="28" w:type="dxa"/>
        </w:tblCellMar>
      </w:tblPr>
      <w:tblGrid>
        <w:gridCol w:w="1486"/>
        <w:gridCol w:w="146"/>
        <w:gridCol w:w="296"/>
        <w:gridCol w:w="1099"/>
        <w:gridCol w:w="146"/>
        <w:gridCol w:w="146"/>
        <w:gridCol w:w="510"/>
        <w:gridCol w:w="840"/>
        <w:gridCol w:w="146"/>
        <w:gridCol w:w="146"/>
        <w:gridCol w:w="578"/>
        <w:gridCol w:w="952"/>
        <w:gridCol w:w="146"/>
        <w:gridCol w:w="146"/>
        <w:gridCol w:w="211"/>
        <w:gridCol w:w="781"/>
        <w:gridCol w:w="3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48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Mutual funds</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175,486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175,486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175,486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175,486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ind w:left="0" w:right="0" w:firstLine="490"/>
        <w:jc w:val="left"/>
        <w:rPr>
          <w:rFonts w:ascii="Calibri;sans-serif" w:hAnsi="Calibri;sans-serif"/>
          <w:b w:val="false"/>
          <w:color w:val="000000"/>
          <w:sz w:val="20"/>
        </w:rPr>
      </w:pPr>
      <w:r>
        <w:rPr>
          <w:rFonts w:ascii="Calibri;sans-serif" w:hAnsi="Calibri;sans-serif"/>
          <w:b w:val="false"/>
          <w:color w:val="000000"/>
          <w:sz w:val="20"/>
        </w:rPr>
        <w:t>For the three and nine months ended September 30, 2023, unrealized gain on short-term investments in equity securities was immaterial.</w:t>
      </w:r>
    </w:p>
    <w:p>
      <w:pPr>
        <w:pStyle w:val="TextBody"/>
        <w:bidi w:val="0"/>
        <w:spacing w:before="240" w:after="283"/>
        <w:ind w:left="0" w:right="0" w:firstLine="490"/>
        <w:jc w:val="left"/>
        <w:rPr>
          <w:rFonts w:ascii="Calibri;sans-serif" w:hAnsi="Calibri;sans-serif"/>
          <w:b w:val="false"/>
          <w:color w:val="000000"/>
          <w:sz w:val="20"/>
        </w:rPr>
      </w:pPr>
      <w:r>
        <w:rPr>
          <w:rFonts w:ascii="Calibri;sans-serif" w:hAnsi="Calibri;sans-serif"/>
          <w:b w:val="false"/>
          <w:color w:val="000000"/>
          <w:sz w:val="20"/>
        </w:rPr>
        <w:t>As of December 31, 2022, the Company did not have any investments.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5. Property and Equipment, Net</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and December 31, 2022, property and equipment, net consist of the following:</w:t>
      </w:r>
      <w:r>
        <w:rPr>
          <w:rFonts w:ascii="Times New Roman" w:hAnsi="Times New Roman"/>
          <w:color w:val="000000"/>
          <w:sz w:val="20"/>
        </w:rPr>
        <w:t xml:space="preserve"> </w:t>
      </w:r>
    </w:p>
    <w:p>
      <w:pPr>
        <w:pStyle w:val="TextBody"/>
        <w:bidi w:val="0"/>
        <w:jc w:val="both"/>
        <w:rPr/>
      </w:pPr>
      <w:r>
        <w:rPr/>
        <w:t> </w:t>
      </w:r>
    </w:p>
    <w:tbl>
      <w:tblPr>
        <w:tblW w:w="7005" w:type="dxa"/>
        <w:jc w:val="left"/>
        <w:tblInd w:w="0" w:type="dxa"/>
        <w:tblLayout w:type="fixed"/>
        <w:tblCellMar>
          <w:top w:w="28" w:type="dxa"/>
          <w:left w:w="28" w:type="dxa"/>
          <w:bottom w:w="28" w:type="dxa"/>
          <w:right w:w="28" w:type="dxa"/>
        </w:tblCellMar>
      </w:tblPr>
      <w:tblGrid>
        <w:gridCol w:w="3901"/>
        <w:gridCol w:w="146"/>
        <w:gridCol w:w="242"/>
        <w:gridCol w:w="898"/>
        <w:gridCol w:w="166"/>
        <w:gridCol w:w="146"/>
        <w:gridCol w:w="244"/>
        <w:gridCol w:w="851"/>
        <w:gridCol w:w="4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Capitalized equipment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8"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7,877</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Capitalized internal-use software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10,791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7,429</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Capitalized website development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50,926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36,369</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8,615</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24,225</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4,161</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Finance lease right-of-use assets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108,533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89,096</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(53,833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(48,968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90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40,128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three months ended September 30, 2023 and 2022 and for the nine months ended September 30, 2023 and 2022, depreciation and amortization expense, excluding amortization of intangible assets, amortization of capitalized hosting arrangements, and write-offs, was $4,962, $3,514, $13,164, and $10,556, respectively.</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nine months ended September 30, 2023, the Company wrote off $184</w:t>
      </w:r>
      <w:r>
        <w:rPr>
          <w:rFonts w:ascii="Times New Roman" w:hAnsi="Times New Roman"/>
          <w:color w:val="000000"/>
          <w:sz w:val="20"/>
        </w:rPr>
        <w:t xml:space="preserve"> </w:t>
      </w:r>
      <w:r>
        <w:rPr>
          <w:rFonts w:ascii="Calibri;sans-serif" w:hAnsi="Calibri;sans-serif"/>
          <w:b w:val="false"/>
          <w:color w:val="000000"/>
          <w:sz w:val="20"/>
        </w:rPr>
        <w:t>of Digital Wholesale and U.S. Marketplace capitalized website development costs within wholesale and marketplace cost of revenue, respectively, in the Unaudited Condensed Consolidated Income Statements related to certain developed technology in which the Company has decided to cease investment. For the three months ended September 30, 2023 and for the three and nine months ended September 30, 2022, the Company did not have any write-offs.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During the nine months ended September 30, 2023, capitalized equipment decreased $6,552</w:t>
      </w:r>
      <w:r>
        <w:rPr>
          <w:rFonts w:ascii="Times New Roman" w:hAnsi="Times New Roman"/>
          <w:color w:val="000000"/>
          <w:sz w:val="20"/>
        </w:rPr>
        <w:t xml:space="preserve"> </w:t>
      </w:r>
      <w:r>
        <w:rPr>
          <w:rFonts w:ascii="Calibri;sans-serif" w:hAnsi="Calibri;sans-serif"/>
          <w:b w:val="false"/>
          <w:color w:val="000000"/>
          <w:sz w:val="20"/>
        </w:rPr>
        <w:t>due primarily to the disposal of the data center assets as a result of the Company's migration onto a cloud-based hosting platform.</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During the nine months ended September 30, 2023, capitalized website development costs increased $14,557</w:t>
      </w:r>
      <w:r>
        <w:rPr>
          <w:rFonts w:ascii="Times New Roman" w:hAnsi="Times New Roman"/>
          <w:color w:val="000000"/>
          <w:sz w:val="20"/>
        </w:rPr>
        <w:t xml:space="preserve"> </w:t>
      </w:r>
      <w:r>
        <w:rPr>
          <w:rFonts w:ascii="Calibri;sans-serif" w:hAnsi="Calibri;sans-serif"/>
          <w:b w:val="false"/>
          <w:color w:val="000000"/>
          <w:sz w:val="20"/>
        </w:rPr>
        <w:t>due to continued net investment in the Company's product offerings.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During the nine months ended September 30, 2023, construction in progress costs increased $9,509</w:t>
      </w:r>
      <w:r>
        <w:rPr>
          <w:rFonts w:ascii="Times New Roman" w:hAnsi="Times New Roman"/>
          <w:color w:val="000000"/>
          <w:sz w:val="20"/>
        </w:rPr>
        <w:t xml:space="preserve"> </w:t>
      </w:r>
      <w:r>
        <w:rPr>
          <w:rFonts w:ascii="Calibri;sans-serif" w:hAnsi="Calibri;sans-serif"/>
          <w:b w:val="false"/>
          <w:color w:val="000000"/>
          <w:sz w:val="20"/>
        </w:rPr>
        <w:t>due to the buildout of the Company's future headquarters at 1001 Boylston Street, as discussed in Note 8 of these Unaudited Condensed Consolidated Financial Statements.</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6. Accrued Expenses, Accrued Income Taxes, and Other Current Liabilities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and December 31, 2022, accrued expenses, accrued income taxes, and other current liabilities consist of the following:</w:t>
      </w:r>
      <w:r>
        <w:rPr>
          <w:rFonts w:ascii="Times New Roman" w:hAnsi="Times New Roman"/>
          <w:color w:val="000000"/>
          <w:sz w:val="20"/>
        </w:rPr>
        <w:t xml:space="preserve"> </w:t>
      </w:r>
    </w:p>
    <w:p>
      <w:pPr>
        <w:pStyle w:val="TextBody"/>
        <w:bidi w:val="0"/>
        <w:jc w:val="both"/>
        <w:rPr/>
      </w:pPr>
      <w:r>
        <w:rPr/>
        <w:t> </w:t>
      </w:r>
    </w:p>
    <w:tbl>
      <w:tblPr>
        <w:tblW w:w="7365" w:type="dxa"/>
        <w:jc w:val="left"/>
        <w:tblInd w:w="0" w:type="dxa"/>
        <w:tblLayout w:type="fixed"/>
        <w:tblCellMar>
          <w:top w:w="28" w:type="dxa"/>
          <w:left w:w="28" w:type="dxa"/>
          <w:bottom w:w="28" w:type="dxa"/>
          <w:right w:w="28" w:type="dxa"/>
        </w:tblCellMar>
      </w:tblPr>
      <w:tblGrid>
        <w:gridCol w:w="4201"/>
        <w:gridCol w:w="146"/>
        <w:gridCol w:w="271"/>
        <w:gridCol w:w="869"/>
        <w:gridCol w:w="146"/>
        <w:gridCol w:w="146"/>
        <w:gridCol w:w="260"/>
        <w:gridCol w:w="835"/>
        <w:gridCol w:w="4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Accrued bonus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9"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5"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11,007</w:t>
            </w:r>
          </w:p>
        </w:tc>
        <w:tc>
          <w:tcPr>
            <w:tcW w:w="4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Accrued payroll</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3,416</w:t>
            </w:r>
          </w:p>
        </w:tc>
        <w:tc>
          <w:tcPr>
            <w:tcW w:w="49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Accrued income taxes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2,063</w:t>
            </w:r>
          </w:p>
        </w:tc>
        <w:tc>
          <w:tcPr>
            <w:tcW w:w="4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22,707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01" w:type="dxa"/>
            <w:tcBorders/>
            <w:shd w:fill="CFF0FC" w:val="clear"/>
            <w:vAlign w:val="center"/>
          </w:tcPr>
          <w:p>
            <w:pPr>
              <w:pStyle w:val="TableContents"/>
              <w:bidi w:val="0"/>
              <w:spacing w:before="0" w:after="283"/>
              <w:ind w:left="300" w:right="0" w:firstLine="3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39,193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nine months ended September 30, 2023, accrued income taxes increased by $4,552, primarily due to an increase in current tax expense, driven by the Section 174 rules requiring the capitalization and amortization of product, technology, and development expenses for tax purposes.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nine months ended September 30, 2023, accrued payroll increased by $2,840, primarily due to the timing of accrual for withholding taxes on the net share settlement of restricted stock units.</w:t>
      </w:r>
    </w:p>
    <w:p>
      <w:pPr>
        <w:pStyle w:val="TextBody"/>
        <w:bidi w:val="0"/>
        <w:spacing w:before="240" w:after="283"/>
        <w:jc w:val="both"/>
        <w:rPr>
          <w:rFonts w:ascii="Times New Roman" w:hAnsi="Times New Roman"/>
          <w:sz w:val="20"/>
        </w:rPr>
      </w:pPr>
      <w:r>
        <w:rPr>
          <w:rFonts w:ascii="Calibri;sans-serif" w:hAnsi="Calibri;sans-serif"/>
          <w:b/>
          <w:color w:val="000000"/>
          <w:sz w:val="20"/>
        </w:rPr>
        <w:t>7. Debt</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and December 31, 2022, the Company had no</w:t>
      </w:r>
      <w:r>
        <w:rPr>
          <w:rFonts w:ascii="Times New Roman" w:hAnsi="Times New Roman"/>
          <w:color w:val="000000"/>
          <w:sz w:val="20"/>
        </w:rPr>
        <w:t xml:space="preserve"> </w:t>
      </w:r>
      <w:r>
        <w:rPr>
          <w:rFonts w:ascii="Calibri;sans-serif" w:hAnsi="Calibri;sans-serif"/>
          <w:b w:val="false"/>
          <w:color w:val="000000"/>
          <w:sz w:val="20"/>
        </w:rPr>
        <w:t>long-term debt outstanding.</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Revolving Credit Facility</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On September 26, 2022, the Company entered into a Credit Agreement (the “Credit Agreement”) by and among the Company, PNC Bank, National Association, as administrative agent and collateral agent and an L/C Issuer (as defined in the Credit Agreement), and the other lenders, L/C Issuers, and parties thereto from time to time. The Credit Agreement consists of a revolving credit facility (the “2022 Revolver”), which allows the Company to borrow up to $400.0</w:t>
      </w:r>
      <w:r>
        <w:rPr>
          <w:rFonts w:ascii="Times New Roman" w:hAnsi="Times New Roman"/>
          <w:color w:val="000000"/>
          <w:sz w:val="20"/>
        </w:rPr>
        <w:t xml:space="preserve"> </w:t>
      </w:r>
      <w:r>
        <w:rPr>
          <w:rFonts w:ascii="Calibri;sans-serif" w:hAnsi="Calibri;sans-serif"/>
          <w:b w:val="false"/>
          <w:color w:val="000000"/>
          <w:sz w:val="20"/>
        </w:rPr>
        <w:t>million, $50.0</w:t>
      </w:r>
      <w:r>
        <w:rPr>
          <w:rFonts w:ascii="Times New Roman" w:hAnsi="Times New Roman"/>
          <w:color w:val="000000"/>
          <w:sz w:val="20"/>
        </w:rPr>
        <w:t xml:space="preserve"> </w:t>
      </w:r>
      <w:r>
        <w:rPr>
          <w:rFonts w:ascii="Calibri;sans-serif" w:hAnsi="Calibri;sans-serif"/>
          <w:b w:val="false"/>
          <w:color w:val="000000"/>
          <w:sz w:val="20"/>
        </w:rPr>
        <w:t>million of which may be comprised of a letter of credit sub-facility (the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w:t>
      </w:r>
      <w:r>
        <w:rPr>
          <w:rFonts w:ascii="Times New Roman" w:hAnsi="Times New Roman"/>
          <w:color w:val="000000"/>
          <w:sz w:val="20"/>
        </w:rPr>
        <w:t xml:space="preserve"> </w:t>
      </w:r>
      <w:r>
        <w:rPr>
          <w:rFonts w:ascii="Calibri;sans-serif" w:hAnsi="Calibri;sans-serif"/>
          <w:b w:val="false"/>
          <w:color w:val="000000"/>
          <w:sz w:val="20"/>
        </w:rPr>
        <w:t>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2022 Revolver is secured by a first priority lien on substantially all tangible and intangible property of the Company, as well as any future guarantors, and pledges of the equity of CarOffer and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September 30, 2023.</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there were no</w:t>
      </w:r>
      <w:r>
        <w:rPr>
          <w:rFonts w:ascii="Times New Roman" w:hAnsi="Times New Roman"/>
          <w:color w:val="000000"/>
          <w:sz w:val="20"/>
        </w:rPr>
        <w:t xml:space="preserve"> </w:t>
      </w:r>
      <w:r>
        <w:rPr>
          <w:rFonts w:ascii="Calibri;sans-serif" w:hAnsi="Calibri;sans-serif"/>
          <w:b w:val="false"/>
          <w:color w:val="000000"/>
          <w:sz w:val="20"/>
        </w:rPr>
        <w:t>borrowings and $742</w:t>
      </w:r>
      <w:r>
        <w:rPr>
          <w:rFonts w:ascii="Times New Roman" w:hAnsi="Times New Roman"/>
          <w:color w:val="000000"/>
          <w:sz w:val="20"/>
        </w:rPr>
        <w:t xml:space="preserve"> </w:t>
      </w:r>
      <w:r>
        <w:rPr>
          <w:rFonts w:ascii="Calibri;sans-serif" w:hAnsi="Calibri;sans-serif"/>
          <w:b w:val="false"/>
          <w:color w:val="000000"/>
          <w:sz w:val="20"/>
        </w:rPr>
        <w:t>in letters of credit outstanding, which reduces the borrowing capacity under the 2022 Revolver to $399,258. As of December 31, 2022, there were no</w:t>
      </w:r>
      <w:r>
        <w:rPr>
          <w:rFonts w:ascii="Times New Roman" w:hAnsi="Times New Roman"/>
          <w:color w:val="000000"/>
          <w:sz w:val="20"/>
        </w:rPr>
        <w:t xml:space="preserve"> </w:t>
      </w:r>
      <w:r>
        <w:rPr>
          <w:rFonts w:ascii="Calibri;sans-serif" w:hAnsi="Calibri;sans-serif"/>
          <w:b w:val="false"/>
          <w:color w:val="000000"/>
          <w:sz w:val="20"/>
        </w:rPr>
        <w:t>borrowings and no</w:t>
      </w:r>
      <w:r>
        <w:rPr>
          <w:rFonts w:ascii="Times New Roman" w:hAnsi="Times New Roman"/>
          <w:color w:val="000000"/>
          <w:sz w:val="20"/>
        </w:rPr>
        <w:t xml:space="preserve"> </w:t>
      </w:r>
      <w:r>
        <w:rPr>
          <w:rFonts w:ascii="Calibri;sans-serif" w:hAnsi="Calibri;sans-serif"/>
          <w:b w:val="false"/>
          <w:color w:val="000000"/>
          <w:sz w:val="20"/>
        </w:rPr>
        <w:t>letters of credit outstanding under the 2022 Revolver.</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deferred financing costs were $2,055. As of December 31, 2022, deferred financing costs were $2,442. For the three and nine months ended September 30, 2023, amortization expense associated with deferred financing costs were $129</w:t>
      </w:r>
      <w:r>
        <w:rPr>
          <w:rFonts w:ascii="Times New Roman" w:hAnsi="Times New Roman"/>
          <w:color w:val="000000"/>
          <w:sz w:val="20"/>
        </w:rPr>
        <w:t xml:space="preserve"> </w:t>
      </w:r>
      <w:r>
        <w:rPr>
          <w:rFonts w:ascii="Calibri;sans-serif" w:hAnsi="Calibri;sans-serif"/>
          <w:b w:val="false"/>
          <w:color w:val="000000"/>
          <w:sz w:val="20"/>
        </w:rPr>
        <w:t>and $387, respectively. For both the three and nine months ended September 30, 2022, amortization expense associated with deferred financing costs was $7.</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of September 30, 2023 and December 31, 2022, commitment fees under the 2022 Revolver were immaterial.</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color w:val="000000"/>
          <w:sz w:val="20"/>
        </w:rPr>
        <w:t>8. Commitments and Contingencies</w:t>
      </w:r>
      <w:r>
        <w:rPr>
          <w:rFonts w:ascii="Times New Roman" w:hAnsi="Times New Roman"/>
          <w:color w:val="000000"/>
          <w:sz w:val="20"/>
        </w:rPr>
        <w:t xml:space="preserve"> </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Contractual Obligations and Commitments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all of the Company’s property, equipment, and externally sourced internal-use software have been purchased with cash with the exception of amounts related to unpaid property and equipment, capitalized website development, capitalized internal-use software, and capitalized hosting arrangements, and amounts</w:t>
      </w:r>
      <w:r>
        <w:rPr>
          <w:rFonts w:ascii="Times New Roman" w:hAnsi="Times New Roman"/>
          <w:color w:val="000000"/>
          <w:sz w:val="20"/>
        </w:rPr>
        <w:t xml:space="preserve"> </w:t>
      </w:r>
      <w:r>
        <w:rPr>
          <w:rFonts w:ascii="Calibri;sans-serif" w:hAnsi="Calibri;sans-serif"/>
          <w:b w:val="false"/>
          <w:color w:val="000000"/>
          <w:sz w:val="20"/>
        </w:rPr>
        <w:t>related to obligations under finance leases as disclosed in the Unaudited Condensed Consolidated Statements of Cash Flows. In connection with the 1001 Boylston Street Lease (as defined below), the Company expects to spend approximately $69,815, net of tenant reimbursements. As of September 30, 2023, the Company has incurred $13,864</w:t>
      </w:r>
      <w:r>
        <w:rPr>
          <w:rFonts w:ascii="Times New Roman" w:hAnsi="Times New Roman"/>
          <w:color w:val="000000"/>
          <w:sz w:val="20"/>
        </w:rPr>
        <w:t xml:space="preserve"> </w:t>
      </w:r>
      <w:r>
        <w:rPr>
          <w:rFonts w:ascii="Calibri;sans-serif" w:hAnsi="Calibri;sans-serif"/>
          <w:b w:val="false"/>
          <w:color w:val="000000"/>
          <w:sz w:val="20"/>
        </w:rPr>
        <w:t>in expenses, of which $2,736</w:t>
      </w:r>
      <w:r>
        <w:rPr>
          <w:rFonts w:ascii="Times New Roman" w:hAnsi="Times New Roman"/>
          <w:color w:val="000000"/>
          <w:sz w:val="20"/>
        </w:rPr>
        <w:t xml:space="preserve"> </w:t>
      </w:r>
      <w:r>
        <w:rPr>
          <w:rFonts w:ascii="Calibri;sans-serif" w:hAnsi="Calibri;sans-serif"/>
          <w:b w:val="false"/>
          <w:color w:val="000000"/>
          <w:sz w:val="20"/>
        </w:rPr>
        <w:t>was reimbursed as part of the tenant improvement allowance for the 1001 Boylston Street Lease. Of the gross incurred expenses, $13,670</w:t>
      </w:r>
      <w:r>
        <w:rPr>
          <w:rFonts w:ascii="Times New Roman" w:hAnsi="Times New Roman"/>
          <w:color w:val="000000"/>
          <w:sz w:val="20"/>
        </w:rPr>
        <w:t xml:space="preserve"> </w:t>
      </w:r>
      <w:r>
        <w:rPr>
          <w:rFonts w:ascii="Calibri;sans-serif" w:hAnsi="Calibri;sans-serif"/>
          <w:b w:val="false"/>
          <w:color w:val="000000"/>
          <w:sz w:val="20"/>
        </w:rPr>
        <w:t>were capitalized. As of September 30, 2023, the Company has also signed $3,188</w:t>
      </w:r>
      <w:r>
        <w:rPr>
          <w:rFonts w:ascii="Times New Roman" w:hAnsi="Times New Roman"/>
          <w:color w:val="000000"/>
          <w:sz w:val="20"/>
        </w:rPr>
        <w:t xml:space="preserve"> </w:t>
      </w:r>
      <w:r>
        <w:rPr>
          <w:rFonts w:ascii="Calibri;sans-serif" w:hAnsi="Calibri;sans-serif"/>
          <w:b w:val="false"/>
          <w:color w:val="000000"/>
          <w:sz w:val="20"/>
        </w:rPr>
        <w:t>in contract commitments, which have not yet been incurred. The Company signed a contract commitment for $64,689</w:t>
      </w:r>
      <w:r>
        <w:rPr>
          <w:rFonts w:ascii="Times New Roman" w:hAnsi="Times New Roman"/>
          <w:color w:val="000000"/>
          <w:sz w:val="20"/>
        </w:rPr>
        <w:t xml:space="preserve"> </w:t>
      </w:r>
      <w:r>
        <w:rPr>
          <w:rFonts w:ascii="Calibri;sans-serif" w:hAnsi="Calibri;sans-serif"/>
          <w:b w:val="false"/>
          <w:color w:val="000000"/>
          <w:sz w:val="20"/>
        </w:rPr>
        <w:t>on October 4, 2023, in connection with the 1001 Boylston Street Lease. The Company has no other material long-term purchase obligations outstanding with any vendors or third-parties.</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Leases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Company’s lease obligations consist substantially of various leases for office space in: Boston, Massachusetts; Cambridge, Massachusetts; San Francisco, California; Addison, Texas; and Dublin, Ireland.</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of September 30, 2023, there were no material changes in the Company’s leases from those disclosed in the Annual Report, other than those described below.</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New Material Leases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Company’s operating lease agreement in Boston, Massachusetts for 225,428</w:t>
      </w:r>
      <w:r>
        <w:rPr>
          <w:rFonts w:ascii="Times New Roman" w:hAnsi="Times New Roman"/>
          <w:color w:val="000000"/>
          <w:sz w:val="20"/>
        </w:rPr>
        <w:t xml:space="preserve"> </w:t>
      </w:r>
      <w:r>
        <w:rPr>
          <w:rFonts w:ascii="Calibri;sans-serif" w:hAnsi="Calibri;sans-serif"/>
          <w:b w:val="false"/>
          <w:color w:val="000000"/>
          <w:sz w:val="20"/>
        </w:rPr>
        <w:t>square feet at 1001 Boylston Street (the "1001 Boylston Street Lease") commenced on February 3, 2023 ("Delivery Date") as the Company has been granted access to begin its build out. The “Commencement Date” of the lease term is the earlier to occur of (i) the date that is 12 months following the Delivery Date and (ii) the date that the Company first occupies the premises for the normal conduct of business for the Permitted Use (as defined in the 1001 Boylston Street Lease). The initial term will commence on the Commencement Date and expire on the date that is 180 full calendar months after the Commencement Date (plus the partial month, if any, immediately following the Commencement Date). The 1001 Boylston Street Lease provides for the option to terminate early under certain circumstances and contains options to extend</w:t>
      </w:r>
      <w:r>
        <w:rPr>
          <w:rFonts w:ascii="Calibri;sans-serif" w:hAnsi="Calibri;sans-serif"/>
          <w:color w:val="000000"/>
          <w:sz w:val="20"/>
        </w:rPr>
        <w:t xml:space="preserve"> </w:t>
      </w:r>
      <w:r>
        <w:rPr>
          <w:rFonts w:ascii="Calibri;sans-serif" w:hAnsi="Calibri;sans-serif"/>
          <w:b w:val="false"/>
          <w:color w:val="000000"/>
          <w:sz w:val="20"/>
        </w:rPr>
        <w:t>the lease term for two additional periods of five years.</w:t>
      </w:r>
      <w:r>
        <w:rPr>
          <w:rFonts w:ascii="Times New Roman" w:hAnsi="Times New Roman"/>
          <w:color w:val="000000"/>
          <w:sz w:val="20"/>
        </w:rPr>
        <w:t xml:space="preserve"> </w:t>
      </w:r>
      <w:r>
        <w:rPr>
          <w:rFonts w:ascii="Calibri;sans-serif" w:hAnsi="Calibri;sans-serif"/>
          <w:b w:val="false"/>
          <w:color w:val="000000"/>
          <w:sz w:val="20"/>
        </w:rPr>
        <w:t>The 1001 Boylston Street Lease provides for annual rent increases through the term of the lease, leasehold improvement incentives, and variable payments related to operating expenses, management fees, taxes, utilities, insurance, and maintenance expenses. The 1001 Boylston Street Lease also contains both lease and non-lease components. Non-lease components relate to operating expenses, parking, utilities, and maintenance expenses. The Company expects to move into the office space in 2024.</w:t>
      </w:r>
      <w:r>
        <w:rPr>
          <w:rFonts w:ascii="Times New Roman" w:hAnsi="Times New Roman"/>
          <w:color w:val="000000"/>
          <w:sz w:val="20"/>
        </w:rPr>
        <w:t xml:space="preserve"> </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Lease Commitments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of September 30, 2023, future minimum lease payments for all leases are as follows:</w:t>
      </w:r>
    </w:p>
    <w:p>
      <w:pPr>
        <w:pStyle w:val="TextBody"/>
        <w:bidi w:val="0"/>
        <w:ind w:left="0" w:right="0" w:firstLine="490"/>
        <w:jc w:val="both"/>
        <w:rPr/>
      </w:pPr>
      <w:r>
        <w:rPr/>
        <w:t> </w:t>
      </w:r>
    </w:p>
    <w:tbl>
      <w:tblPr>
        <w:tblW w:w="3609" w:type="dxa"/>
        <w:jc w:val="left"/>
        <w:tblInd w:w="0" w:type="dxa"/>
        <w:tblLayout w:type="fixed"/>
        <w:tblCellMar>
          <w:top w:w="28" w:type="dxa"/>
          <w:left w:w="28" w:type="dxa"/>
          <w:bottom w:w="28" w:type="dxa"/>
          <w:right w:w="28" w:type="dxa"/>
        </w:tblCellMar>
      </w:tblPr>
      <w:tblGrid>
        <w:gridCol w:w="1956"/>
        <w:gridCol w:w="146"/>
        <w:gridCol w:w="219"/>
        <w:gridCol w:w="877"/>
        <w:gridCol w:w="411"/>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Operating </w:t>
              <w:br/>
              <w:t>Lease</w:t>
              <w:br/>
              <w:t>Commitments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Remainder of 2023</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532</w:t>
            </w:r>
          </w:p>
        </w:tc>
        <w:tc>
          <w:tcPr>
            <w:tcW w:w="411" w:type="dxa"/>
            <w:tcBorders/>
            <w:shd w:fill="CFF0FC"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2024</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16,455</w:t>
            </w:r>
          </w:p>
        </w:tc>
        <w:tc>
          <w:tcPr>
            <w:tcW w:w="411" w:type="dxa"/>
            <w:tcBorders/>
            <w:shd w:fill="FFFFFF" w:val="clear"/>
            <w:vAlign w:val="center"/>
          </w:tcPr>
          <w:p>
            <w:pPr>
              <w:pStyle w:val="TableContents"/>
              <w:bidi w:val="0"/>
              <w:spacing w:before="0" w:after="283"/>
              <w:jc w:val="left"/>
              <w:rPr/>
            </w:pPr>
            <w:r>
              <w:rPr/>
              <w:t> </w:t>
            </w:r>
          </w:p>
        </w:tc>
      </w:tr>
      <w:tr>
        <w:trPr/>
        <w:tc>
          <w:tcPr>
            <w:tcW w:w="195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2025</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18,871</w:t>
            </w:r>
          </w:p>
        </w:tc>
        <w:tc>
          <w:tcPr>
            <w:tcW w:w="411" w:type="dxa"/>
            <w:tcBorders/>
            <w:shd w:fill="CFF0FC"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2026</w:t>
            </w:r>
          </w:p>
        </w:tc>
        <w:tc>
          <w:tcPr>
            <w:tcW w:w="146"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22,334</w:t>
            </w:r>
          </w:p>
        </w:tc>
        <w:tc>
          <w:tcPr>
            <w:tcW w:w="411" w:type="dxa"/>
            <w:tcBorders/>
            <w:shd w:fill="FFFFFF" w:val="clear"/>
            <w:vAlign w:val="center"/>
          </w:tcPr>
          <w:p>
            <w:pPr>
              <w:pStyle w:val="TableContents"/>
              <w:bidi w:val="0"/>
              <w:spacing w:before="0" w:after="283"/>
              <w:jc w:val="left"/>
              <w:rPr/>
            </w:pPr>
            <w:r>
              <w:rPr/>
              <w:t> </w:t>
            </w:r>
          </w:p>
        </w:tc>
      </w:tr>
      <w:tr>
        <w:trPr/>
        <w:tc>
          <w:tcPr>
            <w:tcW w:w="195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2027</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22,742</w:t>
            </w:r>
          </w:p>
        </w:tc>
        <w:tc>
          <w:tcPr>
            <w:tcW w:w="411" w:type="dxa"/>
            <w:tcBorders/>
            <w:shd w:fill="CFF0FC"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Thereafter</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231,154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 lease payments</w:t>
            </w:r>
          </w:p>
        </w:tc>
        <w:tc>
          <w:tcPr>
            <w:tcW w:w="146"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312,088</w:t>
            </w:r>
          </w:p>
        </w:tc>
        <w:tc>
          <w:tcPr>
            <w:tcW w:w="411" w:type="dxa"/>
            <w:tcBorders/>
            <w:shd w:fill="CFF0FC"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Less imputed interest</w:t>
            </w:r>
          </w:p>
        </w:tc>
        <w:tc>
          <w:tcPr>
            <w:tcW w:w="146"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(106,771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195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205,317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of September 30, 2023, there were no leases signed but not yet commenced.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months ended September 30, 2023 and 2022 and for the nine months ended September 30, 2023 and 2022, the Company recognized $9,058, $4,384, $25,605, and $12,612</w:t>
      </w:r>
      <w:r>
        <w:rPr>
          <w:rFonts w:ascii="Times New Roman" w:hAnsi="Times New Roman"/>
          <w:color w:val="000000"/>
          <w:sz w:val="20"/>
        </w:rPr>
        <w:t xml:space="preserve"> </w:t>
      </w:r>
      <w:r>
        <w:rPr>
          <w:rFonts w:ascii="Calibri;sans-serif" w:hAnsi="Calibri;sans-serif"/>
          <w:b w:val="false"/>
          <w:color w:val="000000"/>
          <w:sz w:val="20"/>
        </w:rPr>
        <w:t>of lease costs, respectively.</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the weighted average remaining lease term was 13.2</w:t>
      </w:r>
      <w:r>
        <w:rPr>
          <w:rFonts w:ascii="Calibri;sans-serif" w:hAnsi="Calibri;sans-serif"/>
          <w:color w:val="000000"/>
          <w:sz w:val="20"/>
        </w:rPr>
        <w:t xml:space="preserve"> </w:t>
      </w:r>
      <w:r>
        <w:rPr>
          <w:rFonts w:ascii="Calibri;sans-serif" w:hAnsi="Calibri;sans-serif"/>
          <w:b w:val="false"/>
          <w:color w:val="000000"/>
          <w:sz w:val="20"/>
        </w:rPr>
        <w:t>years, and the weighted average discount rate was 5.7%. As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used the incremental borrowing rate on January 1, 2019 for leases that commenced prior to that date.</w:t>
      </w:r>
    </w:p>
    <w:p>
      <w:pPr>
        <w:pStyle w:val="TextBody"/>
        <w:bidi w:val="0"/>
        <w:spacing w:before="240" w:after="283"/>
        <w:jc w:val="left"/>
        <w:rPr>
          <w:rFonts w:ascii="Calibri;sans-serif" w:hAnsi="Calibri;sans-serif"/>
          <w:b w:val="false"/>
          <w:i/>
          <w:color w:val="000000"/>
          <w:sz w:val="20"/>
        </w:rPr>
      </w:pPr>
      <w:r>
        <w:rPr>
          <w:rFonts w:ascii="Calibri;sans-serif" w:hAnsi="Calibri;sans-serif"/>
          <w:b w:val="false"/>
          <w:i/>
          <w:color w:val="000000"/>
          <w:sz w:val="20"/>
        </w:rPr>
        <w:t>Sublease Income</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w:t>
      </w:r>
      <w:r>
        <w:rPr>
          <w:rFonts w:ascii="Times New Roman" w:hAnsi="Times New Roman"/>
          <w:color w:val="000000"/>
          <w:sz w:val="20"/>
        </w:rPr>
        <w:t xml:space="preserve"> </w:t>
      </w:r>
      <w:r>
        <w:rPr>
          <w:rFonts w:ascii="Calibri;sans-serif" w:hAnsi="Calibri;sans-serif"/>
          <w:b w:val="false"/>
          <w:color w:val="000000"/>
          <w:sz w:val="20"/>
        </w:rPr>
        <w:t>September 30, 2023, future minimum sublease income payments are as follows:</w:t>
      </w:r>
    </w:p>
    <w:p>
      <w:pPr>
        <w:pStyle w:val="TextBody"/>
        <w:bidi w:val="0"/>
        <w:jc w:val="left"/>
        <w:rPr/>
      </w:pPr>
      <w:r>
        <w:rPr/>
        <w:t> </w:t>
      </w:r>
    </w:p>
    <w:tbl>
      <w:tblPr>
        <w:tblW w:w="3923" w:type="dxa"/>
        <w:jc w:val="left"/>
        <w:tblInd w:w="0" w:type="dxa"/>
        <w:tblLayout w:type="fixed"/>
        <w:tblCellMar>
          <w:top w:w="28" w:type="dxa"/>
          <w:left w:w="28" w:type="dxa"/>
          <w:bottom w:w="28" w:type="dxa"/>
          <w:right w:w="28" w:type="dxa"/>
        </w:tblCellMar>
      </w:tblPr>
      <w:tblGrid>
        <w:gridCol w:w="1951"/>
        <w:gridCol w:w="146"/>
        <w:gridCol w:w="360"/>
        <w:gridCol w:w="975"/>
        <w:gridCol w:w="4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Sublease</w:t>
              <w:br/>
              <w:t>Income Payments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75"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532</w:t>
            </w:r>
          </w:p>
        </w:tc>
        <w:tc>
          <w:tcPr>
            <w:tcW w:w="4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1,923</w:t>
            </w:r>
          </w:p>
        </w:tc>
        <w:tc>
          <w:tcPr>
            <w:tcW w:w="4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1,023</w:t>
            </w:r>
          </w:p>
        </w:tc>
        <w:tc>
          <w:tcPr>
            <w:tcW w:w="4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51" w:type="dxa"/>
            <w:tcBorders/>
            <w:shd w:fill="CFF0FC" w:val="clear"/>
            <w:vAlign w:val="center"/>
          </w:tcPr>
          <w:p>
            <w:pPr>
              <w:pStyle w:val="TableContents"/>
              <w:bidi w:val="0"/>
              <w:spacing w:before="0" w:after="283"/>
              <w:ind w:left="300" w:right="0" w:firstLine="3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3,478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Restricted Cash</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1001 Boylston Street Lease and the Company’s leases in Cambridge, Massachusetts and San Francisco, California have associated letters of credit. As of December 31, 2022, all letters of credit were collateralized by cash, which was recognized as restricted cash in the Unaudited Condensed Consolidated Balance Sheets. As of September 30, 2023, $742</w:t>
      </w:r>
      <w:r>
        <w:rPr>
          <w:rFonts w:ascii="Times New Roman" w:hAnsi="Times New Roman"/>
          <w:color w:val="000000"/>
          <w:sz w:val="20"/>
        </w:rPr>
        <w:t xml:space="preserve"> </w:t>
      </w:r>
      <w:r>
        <w:rPr>
          <w:rFonts w:ascii="Calibri;sans-serif" w:hAnsi="Calibri;sans-serif"/>
          <w:b w:val="false"/>
          <w:color w:val="000000"/>
          <w:sz w:val="20"/>
        </w:rPr>
        <w:t>of letters of credit were included under the 2022 Revolver Sub-facility, as the Company canceled two letters of credit associated with the San Francisco and the Cambridge (55 Cambridge Parkway) leases and reissued these letters of credit under the 2022 Revolver Sub-facility. As of September 30, 2023, $8,885</w:t>
      </w:r>
      <w:r>
        <w:rPr>
          <w:rFonts w:ascii="Times New Roman" w:hAnsi="Times New Roman"/>
          <w:color w:val="000000"/>
          <w:sz w:val="20"/>
        </w:rPr>
        <w:t xml:space="preserve"> </w:t>
      </w:r>
      <w:r>
        <w:rPr>
          <w:rFonts w:ascii="Calibri;sans-serif" w:hAnsi="Calibri;sans-serif"/>
          <w:b w:val="false"/>
          <w:color w:val="000000"/>
          <w:sz w:val="20"/>
        </w:rPr>
        <w:t>of letters of credit associated with the 1001 Boylston Street Lease remained collateralized by cash, which was recognized as short-term restricted cash in the Unaudited Condensed Consolidated Balance Sheets. The Company expects to cancel the letter of credit associated with the 1001 Boylston Street Lease and reissue a new letter of credit under the 2022 Revolver Sub-facility during the fourth quarter of 2023.</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and December 31, 2022, restricted cash was $11,624</w:t>
      </w:r>
      <w:r>
        <w:rPr>
          <w:rFonts w:ascii="Times New Roman" w:hAnsi="Times New Roman"/>
          <w:color w:val="000000"/>
          <w:sz w:val="20"/>
        </w:rPr>
        <w:t xml:space="preserve"> </w:t>
      </w:r>
      <w:r>
        <w:rPr>
          <w:rFonts w:ascii="Calibri;sans-serif" w:hAnsi="Calibri;sans-serif"/>
          <w:b w:val="false"/>
          <w:color w:val="000000"/>
          <w:sz w:val="20"/>
        </w:rPr>
        <w:t>and $14,615, respectively, and primarily related to cash held at a financial institution in an interest</w:t>
        <w:noBreakHyphen/>
        <w:t>bearing cash account as collateral for the letters of credit related to the contractual provisions for the Company’s building lease and pass-through payments from customers related to the Company’s wholesale business.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December 31, 2022, portions of restricted cash were classified as a short-term asset and long</w:t>
        <w:noBreakHyphen/>
        <w:t>term asset, as disclosed in the Unaudited Condensed Consolidated Balance Sheets. During the nine months ended September 30, 2023, the Company</w:t>
      </w:r>
      <w:r>
        <w:rPr>
          <w:rFonts w:ascii="Times New Roman" w:hAnsi="Times New Roman"/>
          <w:color w:val="000000"/>
          <w:sz w:val="20"/>
        </w:rPr>
        <w:t xml:space="preserve"> </w:t>
      </w:r>
      <w:r>
        <w:rPr>
          <w:rFonts w:ascii="Calibri;sans-serif" w:hAnsi="Calibri;sans-serif"/>
          <w:b w:val="false"/>
          <w:color w:val="000000"/>
          <w:sz w:val="20"/>
        </w:rPr>
        <w:t>reclassified $9,378</w:t>
      </w:r>
      <w:r>
        <w:rPr>
          <w:rFonts w:ascii="Times New Roman" w:hAnsi="Times New Roman"/>
          <w:color w:val="000000"/>
          <w:sz w:val="20"/>
        </w:rPr>
        <w:t xml:space="preserve"> </w:t>
      </w:r>
      <w:r>
        <w:rPr>
          <w:rFonts w:ascii="Calibri;sans-serif" w:hAnsi="Calibri;sans-serif"/>
          <w:b w:val="false"/>
          <w:color w:val="000000"/>
          <w:sz w:val="20"/>
        </w:rPr>
        <w:t>of letters of credit from a long-term asset to a short-term asset as the Company expects to cancel and reissue the remaining letters of credit, outstanding as of December 31, 2022, under the 2022 Revolver Sub-facility during the fourth quarter of 2023. Of the letters of credit outstanding as of December 31, 2022, the Company canceled a letter of credit associated with the Cambridge (2 Canal Park) lease, however, the cash was recognized as restricted cash as of March 31, 2023, until it was released from the bank. During the nine months ended September 30, 2023, the Company released the cash associated with the Cambridge (2 Canal Park) lease. As of September 30, 2023, all restricted cash was classified as a short-term asset, as disclosed in the Unaudited Condensed Consolidated Balance Sheets.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Acquisitions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On January 14, 2021, the Company completed the acquisition of a 51% interest in CarOffer, an automated instant vehicle trade platform based in Addison, Texas, with the option to acquire portions of the remaining equity in the future. During the year ended December 31, 2022, the Company determined not to exercise its call right to acquire up to an additional 25% of the fully diluted capitalization of CarOffer. In the second half of 2024, the Company will have a call right to acquire all, and not less than all, of the remaining equity interests in CarOffer and the representative of the holders of the remaining equity will have a put right to sell to the Company all, and not less than all, of the remaining equity interests in CarOffer. Details of this acquisition are more fully described in Note 2 to the consolidated financial statements contained within the Annual Report. On November 6, 2023, the Company entered into the Purchase Agreement (as defined in Note 13 of these Unaudited Condensed Consolidated Financial Statements) to acquire the remaining interest in CarOffer that the Company does not presently own. See Note 13 of these Unaudited Condensed Consolidated Financial Statements for additional information.</w:t>
      </w:r>
    </w:p>
    <w:p>
      <w:pPr>
        <w:pStyle w:val="TextBody"/>
        <w:bidi w:val="0"/>
        <w:spacing w:before="240" w:after="283"/>
        <w:jc w:val="both"/>
        <w:rPr>
          <w:rFonts w:ascii="Times New Roman" w:hAnsi="Times New Roman"/>
          <w:sz w:val="20"/>
        </w:rPr>
      </w:pPr>
      <w:r>
        <w:rPr>
          <w:rFonts w:ascii="Calibri;sans-serif" w:hAnsi="Calibri;sans-serif"/>
          <w:b w:val="false"/>
          <w:i/>
          <w:color w:val="000000"/>
          <w:sz w:val="20"/>
        </w:rPr>
        <w:t>Legal Matters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r>
        <w:rPr>
          <w:rFonts w:ascii="Times New Roman" w:hAnsi="Times New Roman"/>
          <w:color w:val="000000"/>
          <w:sz w:val="20"/>
        </w:rPr>
        <w:t xml:space="preserve"> </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Guarantees and Indemnification Obligations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In the ordinary course of business, the Company enters into agreements with its customers, partners, and service providers that include commercial provisions with respect to licensing, infringement, guarantees, indemnification, and other common provisions.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Company</w:t>
      </w:r>
      <w:r>
        <w:rPr>
          <w:rFonts w:ascii="Times New Roman" w:hAnsi="Times New Roman"/>
          <w:color w:val="000000"/>
          <w:sz w:val="20"/>
        </w:rPr>
        <w:t xml:space="preserve"> </w:t>
      </w:r>
      <w:r>
        <w:rPr>
          <w:rFonts w:ascii="Calibri;sans-serif" w:hAnsi="Calibri;sans-serif"/>
          <w:b w:val="false"/>
          <w:color w:val="000000"/>
          <w:sz w:val="20"/>
        </w:rPr>
        <w:t xml:space="preserve">provides certain guarantees to dealers through products such as its 45-Day Guarantee and OfferGuard service offerings on the CarOffer platform, which are accounted for under ASC Topic 460, </w:t>
      </w:r>
      <w:r>
        <w:rPr>
          <w:rFonts w:ascii="Calibri;sans-serif" w:hAnsi="Calibri;sans-serif"/>
          <w:b w:val="false"/>
          <w:i/>
          <w:color w:val="000000"/>
          <w:sz w:val="20"/>
        </w:rPr>
        <w:t>Guarantees</w:t>
      </w:r>
      <w:r>
        <w:rPr>
          <w:rFonts w:ascii="Calibri;sans-serif" w:hAnsi="Calibri;sans-serif"/>
          <w:b w:val="false"/>
          <w:color w:val="000000"/>
          <w:sz w:val="20"/>
        </w:rPr>
        <w:t>.</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45-Day Guarantee is an arrangement through which a selling dealer lists a car on the CarOffer platform, and the Company provides an offer to purchase the vehicle listed at a specified price at any time over a 45-day period. This provides the seller with a put option, where they have the right, but not the obligation, to require the Company to purchase the vehicle during this window. OfferGuard is an arrangement through which a buying dealer purchases a car on the CarOffer platform, and the Company provides an offer to purchase the vehicle at a specified price between days 1 and 3, and days 42 and 45 if the dealer is not able to sell the vehicle after 42 days.</w:t>
      </w:r>
      <w:r>
        <w:rPr>
          <w:rFonts w:ascii="Times New Roman" w:hAnsi="Times New Roman"/>
          <w:color w:val="000000"/>
          <w:sz w:val="20"/>
        </w:rPr>
        <w:t xml:space="preserve"> </w:t>
      </w:r>
    </w:p>
    <w:p>
      <w:pPr>
        <w:pStyle w:val="TextBody"/>
        <w:bidi w:val="0"/>
        <w:spacing w:before="240" w:after="283"/>
        <w:ind w:left="0" w:right="0" w:firstLine="490"/>
        <w:jc w:val="both"/>
        <w:rPr/>
      </w:pPr>
      <w:r>
        <w:rPr>
          <w:rFonts w:ascii="Calibri;sans-serif" w:hAnsi="Calibri;sans-serif"/>
          <w:b w:val="false"/>
          <w:color w:val="000000"/>
          <w:sz w:val="20"/>
        </w:rPr>
        <w:t xml:space="preserve">A guarantee liability is initially measured using the amount of consideration received from the dealer for the purchase of the guarantee. The initial liability is released, and guarantee income is recognized, upon the earliest of the following: the vehicle sells during the guarantee period, the seller exercises its put option during the guarantee period, or the option expires unexercised at the end of the guarantee period. Guarantee income is recognized within wholesale revenue in the </w:t>
      </w:r>
      <w:hyperlink w:anchor="consolidated_statements_operations">
        <w:r>
          <w:rPr>
            <w:rStyle w:val="InternetLink"/>
          </w:rPr>
          <w:t>Unaudited Condensed Consolidated Income Statements</w:t>
        </w:r>
      </w:hyperlink>
      <w:r>
        <w:rPr>
          <w:rFonts w:ascii="Calibri;sans-serif" w:hAnsi="Calibri;sans-serif"/>
          <w:b w:val="false"/>
          <w:color w:val="000000"/>
          <w:sz w:val="20"/>
        </w:rPr>
        <w:t>. Gains and losses resulting from dealers' exercise of guarantees are recognized within wholesale cost of revenue in the Unaudited Condensed Consolidated Income Statements. When it is probable and reasonably estimable that the Company will incur a loss on a vehicle that it is required to purchase, a liability and a corresponding charge to wholesale cost of revenue is recognized for the amount of the loss in the Unaudited Condensed Consolidated Balance Sheets and Unaudited Condensed Consolidated Income Statements.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months ended September 30, 2023 and 2022 and for the nine months ended September 30, 2023 and 2022, income for guarantees purchased by dealers was $348, $2,717, $1,508, and $8,329, respectively. For the three months ended September 30, 2023 and 2022 and for the nine months ended September 30, 2023 and 2022, the loss, net of gains, recognized within cost of revenue in the Unaudited Condensed Consolidated Income Statements resulting from dealers' exercise of guarantees was $184, $2,354, $273, and $4,653</w:t>
      </w:r>
      <w:r>
        <w:rPr>
          <w:rFonts w:ascii="Times New Roman" w:hAnsi="Times New Roman"/>
          <w:color w:val="000000"/>
          <w:sz w:val="20"/>
        </w:rPr>
        <w:t xml:space="preserve"> </w:t>
      </w:r>
      <w:r>
        <w:rPr>
          <w:rFonts w:ascii="Calibri;sans-serif" w:hAnsi="Calibri;sans-serif"/>
          <w:b w:val="false"/>
          <w:color w:val="000000"/>
          <w:sz w:val="20"/>
        </w:rPr>
        <w:t>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the maximum potential amount of future payments that the Company could be required to make under these guarantees was $13,871. Of the maximum potential amount of future payments, the losses that were probable were immaterial. As such, as of September 30, 2023, the Company had immaterial contingent loss liabilities.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December 31, 2022, the maximum potential amount of future payments that the Company could be required to make under these guarantees was $31,056. Of the maximum potential amount of future payments, the losses that were probable were immaterial. As such, as of December 31, 2022, the Company had immaterial contingent loss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9. Stock-based Compensation and Common Stock Share Repurchases</w:t>
      </w:r>
      <w:r>
        <w:rPr>
          <w:rFonts w:ascii="Times New Roman" w:hAnsi="Times New Roman"/>
          <w:color w:val="000000"/>
          <w:sz w:val="20"/>
        </w:rPr>
        <w:t xml:space="preserve"> </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Stock-based Compensation Expense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three months ended September 30, 2023 and 2022 and for the nine months ended September 30, 2023 and 2022, stock-based compensation expense by award type and where the stock-based compensation expense was recognized in the Unaudited Condensed Consolidated Income Statements is as follows:</w:t>
      </w:r>
    </w:p>
    <w:tbl>
      <w:tblPr>
        <w:tblW w:w="8032" w:type="dxa"/>
        <w:jc w:val="left"/>
        <w:tblInd w:w="0" w:type="dxa"/>
        <w:tblLayout w:type="fixed"/>
        <w:tblCellMar>
          <w:top w:w="28" w:type="dxa"/>
          <w:left w:w="28" w:type="dxa"/>
          <w:bottom w:w="28" w:type="dxa"/>
          <w:right w:w="28" w:type="dxa"/>
        </w:tblCellMar>
      </w:tblPr>
      <w:tblGrid>
        <w:gridCol w:w="2971"/>
        <w:gridCol w:w="146"/>
        <w:gridCol w:w="211"/>
        <w:gridCol w:w="676"/>
        <w:gridCol w:w="166"/>
        <w:gridCol w:w="146"/>
        <w:gridCol w:w="211"/>
        <w:gridCol w:w="736"/>
        <w:gridCol w:w="166"/>
        <w:gridCol w:w="146"/>
        <w:gridCol w:w="211"/>
        <w:gridCol w:w="676"/>
        <w:gridCol w:w="146"/>
        <w:gridCol w:w="146"/>
        <w:gridCol w:w="211"/>
        <w:gridCol w:w="676"/>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1,937</w:t>
            </w:r>
          </w:p>
        </w:tc>
        <w:tc>
          <w:tcPr>
            <w:tcW w:w="3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13,672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42,047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39,613</w:t>
            </w:r>
          </w:p>
        </w:tc>
        <w:tc>
          <w:tcPr>
            <w:tcW w:w="3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 Incentive Units and Subject Units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5,803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43,842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47,353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increase of $19,692</w:t>
      </w:r>
      <w:r>
        <w:rPr>
          <w:rFonts w:ascii="Times New Roman" w:hAnsi="Times New Roman"/>
          <w:color w:val="000000"/>
          <w:sz w:val="20"/>
        </w:rPr>
        <w:t xml:space="preserve"> </w:t>
      </w:r>
      <w:r>
        <w:rPr>
          <w:rFonts w:ascii="Calibri;sans-serif" w:hAnsi="Calibri;sans-serif"/>
          <w:b w:val="false"/>
          <w:color w:val="000000"/>
          <w:sz w:val="20"/>
        </w:rPr>
        <w:t>for the three months ended September 30, 2023 compared to the three months ended September 30, 2022 in CO Incentive Units and Subject Units (as each term is defined in Note 2 to the consolidated financial statements contained within the Annual Report) stock-based compensation expense was due to the larger reduction resulting from the prior year revaluation of liability-based stock awards as compared to the reduction resulting from the current year revaluation.</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decrease of $5,803</w:t>
      </w:r>
      <w:r>
        <w:rPr>
          <w:rFonts w:ascii="Times New Roman" w:hAnsi="Times New Roman"/>
          <w:color w:val="000000"/>
          <w:sz w:val="20"/>
        </w:rPr>
        <w:t xml:space="preserve"> </w:t>
      </w:r>
      <w:r>
        <w:rPr>
          <w:rFonts w:ascii="Calibri;sans-serif" w:hAnsi="Calibri;sans-serif"/>
          <w:b w:val="false"/>
          <w:color w:val="000000"/>
          <w:sz w:val="20"/>
        </w:rPr>
        <w:t>for the nine months ended September 30, 2023 compared to the nine months ended September 30, 2022 in CO Incentive Units and Subject Units stock-based compensation expense was due to a decrease in the valuation of the awards following the mark to market valuation adjustments.</w:t>
      </w:r>
    </w:p>
    <w:p>
      <w:pPr>
        <w:pStyle w:val="TextBody"/>
        <w:bidi w:val="0"/>
        <w:jc w:val="both"/>
        <w:rPr/>
      </w:pPr>
      <w:r>
        <w:rPr/>
        <w:t> </w:t>
      </w:r>
    </w:p>
    <w:tbl>
      <w:tblPr>
        <w:tblW w:w="8912" w:type="dxa"/>
        <w:jc w:val="left"/>
        <w:tblInd w:w="0" w:type="dxa"/>
        <w:tblLayout w:type="fixed"/>
        <w:tblCellMar>
          <w:top w:w="28" w:type="dxa"/>
          <w:left w:w="28" w:type="dxa"/>
          <w:bottom w:w="28" w:type="dxa"/>
          <w:right w:w="28" w:type="dxa"/>
        </w:tblCellMar>
      </w:tblPr>
      <w:tblGrid>
        <w:gridCol w:w="3871"/>
        <w:gridCol w:w="146"/>
        <w:gridCol w:w="211"/>
        <w:gridCol w:w="676"/>
        <w:gridCol w:w="146"/>
        <w:gridCol w:w="146"/>
        <w:gridCol w:w="211"/>
        <w:gridCol w:w="736"/>
        <w:gridCol w:w="166"/>
        <w:gridCol w:w="146"/>
        <w:gridCol w:w="211"/>
        <w:gridCol w:w="676"/>
        <w:gridCol w:w="146"/>
        <w:gridCol w:w="146"/>
        <w:gridCol w:w="211"/>
        <w:gridCol w:w="676"/>
        <w:gridCol w:w="3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417</w:t>
            </w:r>
          </w:p>
        </w:tc>
        <w:tc>
          <w:tcPr>
            <w:tcW w:w="3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Sales and marketing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8,173</w:t>
            </w:r>
          </w:p>
        </w:tc>
        <w:tc>
          <w:tcPr>
            <w:tcW w:w="3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Product, technology,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5,745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16,720</w:t>
            </w:r>
          </w:p>
        </w:tc>
        <w:tc>
          <w:tcPr>
            <w:tcW w:w="3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22,043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43,842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47,353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three months ended September 30, 2023 and 2022 and for the nine months ended September 30, 2023 and 2022, stock-based compensation expense excluded $1,406, $939, $3,843, and $3,410, respectively, of capitalized website development costs, capitalized internal-use software costs, and capitalized hosting arrangements.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During the three months ended September 30, 2023 and 2022 and the nine months ended September 30, 2023 and 2022, the Company withheld 214,187, 228,049, 790,309, and 531,318</w:t>
      </w:r>
      <w:r>
        <w:rPr>
          <w:rFonts w:ascii="Times New Roman" w:hAnsi="Times New Roman"/>
          <w:color w:val="000000"/>
          <w:sz w:val="20"/>
        </w:rPr>
        <w:t xml:space="preserve"> </w:t>
      </w:r>
      <w:r>
        <w:rPr>
          <w:rFonts w:ascii="Calibri;sans-serif" w:hAnsi="Calibri;sans-serif"/>
          <w:b w:val="false"/>
          <w:color w:val="000000"/>
          <w:sz w:val="20"/>
        </w:rPr>
        <w:t>shares of Class A common stock, respectively, to satisfy employee tax withholding requirements for net share settlements of restricted stock units ("RSUs"). The shares withheld return to the authorized, but unissued pool under the Company's Omnibus Incentive Compensation Plan and can be reissued by the Company.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months ended September 30, 2023, total payments to satisfy employee tax withholding requirements for net share settlements of RSUs were $3,915</w:t>
      </w:r>
      <w:r>
        <w:rPr>
          <w:rFonts w:ascii="Times New Roman" w:hAnsi="Times New Roman"/>
          <w:color w:val="000000"/>
          <w:sz w:val="20"/>
        </w:rPr>
        <w:t xml:space="preserve"> </w:t>
      </w:r>
      <w:r>
        <w:rPr>
          <w:rFonts w:ascii="Calibri;sans-serif" w:hAnsi="Calibri;sans-serif"/>
          <w:b w:val="false"/>
          <w:color w:val="000000"/>
          <w:sz w:val="20"/>
        </w:rPr>
        <w:t>of which $886</w:t>
      </w:r>
      <w:r>
        <w:rPr>
          <w:rFonts w:ascii="Times New Roman" w:hAnsi="Times New Roman"/>
          <w:color w:val="000000"/>
          <w:sz w:val="20"/>
        </w:rPr>
        <w:t xml:space="preserve"> </w:t>
      </w:r>
      <w:r>
        <w:rPr>
          <w:rFonts w:ascii="Calibri;sans-serif" w:hAnsi="Calibri;sans-serif"/>
          <w:b w:val="false"/>
          <w:color w:val="000000"/>
          <w:sz w:val="20"/>
        </w:rPr>
        <w:t>was paid and $3,029</w:t>
      </w:r>
      <w:r>
        <w:rPr>
          <w:rFonts w:ascii="Times New Roman" w:hAnsi="Times New Roman"/>
          <w:color w:val="000000"/>
          <w:sz w:val="20"/>
        </w:rPr>
        <w:t xml:space="preserve"> </w:t>
      </w:r>
      <w:r>
        <w:rPr>
          <w:rFonts w:ascii="Calibri;sans-serif" w:hAnsi="Calibri;sans-serif"/>
          <w:b w:val="false"/>
          <w:color w:val="000000"/>
          <w:sz w:val="20"/>
        </w:rPr>
        <w:t>was unpaid. Additionally, $3,958</w:t>
      </w:r>
      <w:r>
        <w:rPr>
          <w:rFonts w:ascii="Times New Roman" w:hAnsi="Times New Roman"/>
          <w:color w:val="000000"/>
          <w:sz w:val="20"/>
        </w:rPr>
        <w:t xml:space="preserve"> </w:t>
      </w:r>
      <w:r>
        <w:rPr>
          <w:rFonts w:ascii="Calibri;sans-serif" w:hAnsi="Calibri;sans-serif"/>
          <w:b w:val="false"/>
          <w:color w:val="000000"/>
          <w:sz w:val="20"/>
        </w:rPr>
        <w:t>was paid related to employee tax withholdings that were unpaid as of June 30, 2023. For the nine months ended September 30, 2023, total payments to satisfy employee tax withholding requirements for net share settlements of RSUs were $14,767, of which $11,738</w:t>
      </w:r>
      <w:r>
        <w:rPr>
          <w:rFonts w:ascii="Times New Roman" w:hAnsi="Times New Roman"/>
          <w:color w:val="000000"/>
          <w:sz w:val="20"/>
        </w:rPr>
        <w:t xml:space="preserve"> </w:t>
      </w:r>
      <w:r>
        <w:rPr>
          <w:rFonts w:ascii="Calibri;sans-serif" w:hAnsi="Calibri;sans-serif"/>
          <w:b w:val="false"/>
          <w:color w:val="000000"/>
          <w:sz w:val="20"/>
        </w:rPr>
        <w:t>was paid and reflected as a financing activity in the Unaudited Condensed Consolidated Statements of Cash Flows and $3,029</w:t>
      </w:r>
      <w:r>
        <w:rPr>
          <w:rFonts w:ascii="Times New Roman" w:hAnsi="Times New Roman"/>
          <w:color w:val="000000"/>
          <w:sz w:val="20"/>
        </w:rPr>
        <w:t xml:space="preserve"> </w:t>
      </w:r>
      <w:r>
        <w:rPr>
          <w:rFonts w:ascii="Calibri;sans-serif" w:hAnsi="Calibri;sans-serif"/>
          <w:b w:val="false"/>
          <w:color w:val="000000"/>
          <w:sz w:val="20"/>
        </w:rPr>
        <w:t>was unpaid and reflected as a supplemental noncash disclosure in the Unaudited Condensed Consolidated Statements of Cash Flows. For the three months ended September 30, 2022, total payments to satisfy employee tax withholding requirements for net share settlements of RSUs were $4,273, of which $2,911</w:t>
      </w:r>
      <w:r>
        <w:rPr>
          <w:rFonts w:ascii="Times New Roman" w:hAnsi="Times New Roman"/>
          <w:color w:val="000000"/>
          <w:sz w:val="20"/>
        </w:rPr>
        <w:t xml:space="preserve"> </w:t>
      </w:r>
      <w:r>
        <w:rPr>
          <w:rFonts w:ascii="Calibri;sans-serif" w:hAnsi="Calibri;sans-serif"/>
          <w:b w:val="false"/>
          <w:color w:val="000000"/>
          <w:sz w:val="20"/>
        </w:rPr>
        <w:t>was paid and $1,362</w:t>
      </w:r>
      <w:r>
        <w:rPr>
          <w:rFonts w:ascii="Times New Roman" w:hAnsi="Times New Roman"/>
          <w:color w:val="000000"/>
          <w:sz w:val="20"/>
        </w:rPr>
        <w:t xml:space="preserve"> </w:t>
      </w:r>
      <w:r>
        <w:rPr>
          <w:rFonts w:ascii="Calibri;sans-serif" w:hAnsi="Calibri;sans-serif"/>
          <w:b w:val="false"/>
          <w:color w:val="000000"/>
          <w:sz w:val="20"/>
        </w:rPr>
        <w:t>was unpaid. For the nine months ended September 30, 2022, total payments to satisfy employee tax withholding requirements for net share settlements of RSUs were $15,533, of which $14,171</w:t>
      </w:r>
      <w:r>
        <w:rPr>
          <w:rFonts w:ascii="Times New Roman" w:hAnsi="Times New Roman"/>
          <w:color w:val="000000"/>
          <w:sz w:val="20"/>
        </w:rPr>
        <w:t xml:space="preserve"> </w:t>
      </w:r>
      <w:r>
        <w:rPr>
          <w:rFonts w:ascii="Calibri;sans-serif" w:hAnsi="Calibri;sans-serif"/>
          <w:b w:val="false"/>
          <w:color w:val="000000"/>
          <w:sz w:val="20"/>
        </w:rPr>
        <w:t>was paid and $1,362</w:t>
      </w:r>
      <w:r>
        <w:rPr>
          <w:rFonts w:ascii="Times New Roman" w:hAnsi="Times New Roman"/>
          <w:color w:val="000000"/>
          <w:sz w:val="20"/>
        </w:rPr>
        <w:t xml:space="preserve"> </w:t>
      </w:r>
      <w:r>
        <w:rPr>
          <w:rFonts w:ascii="Calibri;sans-serif" w:hAnsi="Calibri;sans-serif"/>
          <w:b w:val="false"/>
          <w:color w:val="000000"/>
          <w:sz w:val="20"/>
        </w:rPr>
        <w:t>was unpaid.</w:t>
      </w:r>
      <w:r>
        <w:rPr>
          <w:rFonts w:ascii="Times New Roman" w:hAnsi="Times New Roman"/>
          <w:color w:val="000000"/>
          <w:sz w:val="20"/>
        </w:rPr>
        <w:t xml:space="preserve"> </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Common Stock Share Repurchases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On December 8, 2022, the Company announced that the Board authorized a share repurchase program (the “Share Repurchase Program”), pursuant to which the Company may, from time to time, purchase shares of its Class A common stock for an aggregate purchase price not to exceed $250.0</w:t>
      </w:r>
      <w:r>
        <w:rPr>
          <w:rFonts w:ascii="Times New Roman" w:hAnsi="Times New Roman"/>
          <w:color w:val="000000"/>
          <w:sz w:val="20"/>
        </w:rPr>
        <w:t xml:space="preserve"> </w:t>
      </w:r>
      <w:r>
        <w:rPr>
          <w:rFonts w:ascii="Calibri;sans-serif" w:hAnsi="Calibri;sans-serif"/>
          <w:b w:val="false"/>
          <w:color w:val="000000"/>
          <w:sz w:val="20"/>
        </w:rPr>
        <w:t>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(the "Exchange Act"). The Share Repurchase Program does not obligate the Company to repurchase any minimum dollar amount or number of shares. The Share Repurchase Program has an expiration date of December 31, 2023, and prior to its expiration may be modified, suspended, or discontinued by the Board at any time without prior notice. All repurchased shares under the Share Repurchase Program will be retired. The Company has funded share repurchases and expects to continue to fund any additional share repurchases through cash on hand and cash generated from operations.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On November 7, 2023, the Company announced that the Board authorized a share repurchase program with an effective date of January 1, 2024</w:t>
      </w:r>
      <w:r>
        <w:rPr>
          <w:rFonts w:ascii="Times New Roman" w:hAnsi="Times New Roman"/>
          <w:color w:val="000000"/>
          <w:sz w:val="20"/>
        </w:rPr>
        <w:t xml:space="preserve"> </w:t>
      </w:r>
      <w:r>
        <w:rPr>
          <w:rFonts w:ascii="Calibri;sans-serif" w:hAnsi="Calibri;sans-serif"/>
          <w:b w:val="false"/>
          <w:color w:val="000000"/>
          <w:sz w:val="20"/>
        </w:rPr>
        <w:t>and an expiration date of December 31, 2024. See Note 13 of these Unaudited Condensed Consolidated Financial Statements for additional information.</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During the three months ended September 30, 2023, the Company repurchased and retired 956,248</w:t>
      </w:r>
      <w:r>
        <w:rPr>
          <w:rFonts w:ascii="Times New Roman" w:hAnsi="Times New Roman"/>
          <w:color w:val="000000"/>
          <w:sz w:val="20"/>
        </w:rPr>
        <w:t xml:space="preserve"> </w:t>
      </w:r>
      <w:r>
        <w:rPr>
          <w:rFonts w:ascii="Calibri;sans-serif" w:hAnsi="Calibri;sans-serif"/>
          <w:b w:val="false"/>
          <w:color w:val="000000"/>
          <w:sz w:val="20"/>
        </w:rPr>
        <w:t>shares for $17,115, exclusive of commissions and excise tax, at an average cost of $17.90</w:t>
      </w:r>
      <w:r>
        <w:rPr>
          <w:rFonts w:ascii="Times New Roman" w:hAnsi="Times New Roman"/>
          <w:color w:val="000000"/>
          <w:sz w:val="20"/>
        </w:rPr>
        <w:t xml:space="preserve"> </w:t>
      </w:r>
      <w:r>
        <w:rPr>
          <w:rFonts w:ascii="Calibri;sans-serif" w:hAnsi="Calibri;sans-serif"/>
          <w:b w:val="false"/>
          <w:color w:val="000000"/>
          <w:sz w:val="20"/>
        </w:rPr>
        <w:t>per share, under the Share Repurchase Program. During the nine months ended September 30, 2023, the Company repurchased and retired 6,257,496</w:t>
      </w:r>
      <w:r>
        <w:rPr>
          <w:rFonts w:ascii="Times New Roman" w:hAnsi="Times New Roman"/>
          <w:color w:val="000000"/>
          <w:sz w:val="20"/>
        </w:rPr>
        <w:t xml:space="preserve"> </w:t>
      </w:r>
      <w:r>
        <w:rPr>
          <w:rFonts w:ascii="Calibri;sans-serif" w:hAnsi="Calibri;sans-serif"/>
          <w:b w:val="false"/>
          <w:color w:val="000000"/>
          <w:sz w:val="20"/>
        </w:rPr>
        <w:t>shares for $104,234, exclusive of commissions and excise tax, at an average cost of $16.66</w:t>
      </w:r>
      <w:r>
        <w:rPr>
          <w:rFonts w:ascii="Times New Roman" w:hAnsi="Times New Roman"/>
          <w:color w:val="000000"/>
          <w:sz w:val="20"/>
        </w:rPr>
        <w:t xml:space="preserve"> </w:t>
      </w:r>
      <w:r>
        <w:rPr>
          <w:rFonts w:ascii="Calibri;sans-serif" w:hAnsi="Calibri;sans-serif"/>
          <w:b w:val="false"/>
          <w:color w:val="000000"/>
          <w:sz w:val="20"/>
        </w:rPr>
        <w:t>per share, under the Share Repurchase Program. As of September 30, 2023, the Company had remaining authorization to purchase up to $127,075</w:t>
      </w:r>
      <w:r>
        <w:rPr>
          <w:rFonts w:ascii="Times New Roman" w:hAnsi="Times New Roman"/>
          <w:color w:val="000000"/>
          <w:sz w:val="20"/>
        </w:rPr>
        <w:t xml:space="preserve"> </w:t>
      </w:r>
      <w:r>
        <w:rPr>
          <w:rFonts w:ascii="Calibri;sans-serif" w:hAnsi="Calibri;sans-serif"/>
          <w:b w:val="false"/>
          <w:color w:val="000000"/>
          <w:sz w:val="20"/>
        </w:rPr>
        <w:t>of the Company's Class A common stock under the Share Repurchase Program.</w:t>
      </w:r>
    </w:p>
    <w:p>
      <w:pPr>
        <w:pStyle w:val="TextBody"/>
        <w:bidi w:val="0"/>
        <w:spacing w:before="240" w:after="283"/>
        <w:jc w:val="left"/>
        <w:rPr>
          <w:rFonts w:ascii="Times New Roman" w:hAnsi="Times New Roman"/>
          <w:sz w:val="20"/>
        </w:rPr>
      </w:pPr>
      <w:r>
        <w:rPr>
          <w:rFonts w:ascii="Calibri;sans-serif" w:hAnsi="Calibri;sans-serif"/>
          <w:b/>
          <w:color w:val="000000"/>
          <w:sz w:val="20"/>
        </w:rPr>
        <w:t>10. Earnings Per Share</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w:t>
      </w:r>
      <w:r>
        <w:rPr>
          <w:rFonts w:ascii="Calibri;sans-serif" w:hAnsi="Calibri;sans-serif"/>
          <w:color w:val="000000"/>
          <w:sz w:val="20"/>
        </w:rPr>
        <w:t xml:space="preserve"> </w:t>
      </w:r>
      <w:r>
        <w:rPr>
          <w:rFonts w:ascii="Calibri;sans-serif" w:hAnsi="Calibri;sans-serif"/>
          <w:b w:val="false"/>
          <w:color w:val="000000"/>
          <w:sz w:val="20"/>
        </w:rPr>
        <w:t>vote per share</w:t>
      </w:r>
      <w:r>
        <w:rPr>
          <w:rFonts w:ascii="Times New Roman" w:hAnsi="Times New Roman"/>
          <w:color w:val="000000"/>
          <w:sz w:val="20"/>
        </w:rPr>
        <w:t xml:space="preserve"> </w:t>
      </w:r>
      <w:r>
        <w:rPr>
          <w:rFonts w:ascii="Calibri;sans-serif" w:hAnsi="Calibri;sans-serif"/>
          <w:b w:val="false"/>
          <w:color w:val="000000"/>
          <w:sz w:val="20"/>
        </w:rPr>
        <w:t>and each share of Class B common stock is entitled to</w:t>
      </w:r>
      <w:r>
        <w:rPr>
          <w:rFonts w:ascii="Times New Roman" w:hAnsi="Times New Roman"/>
          <w:color w:val="000000"/>
          <w:sz w:val="20"/>
        </w:rPr>
        <w:t xml:space="preserve"> </w:t>
      </w:r>
      <w:r>
        <w:rPr>
          <w:rFonts w:ascii="Calibri;sans-serif" w:hAnsi="Calibri;sans-serif"/>
          <w:b w:val="false"/>
          <w:color w:val="000000"/>
          <w:sz w:val="20"/>
        </w:rPr>
        <w:t>ten</w:t>
      </w:r>
      <w:r>
        <w:rPr>
          <w:rFonts w:ascii="Calibri;sans-serif" w:hAnsi="Calibri;sans-serif"/>
          <w:color w:val="000000"/>
          <w:sz w:val="20"/>
        </w:rPr>
        <w:t xml:space="preserve"> </w:t>
      </w:r>
      <w:r>
        <w:rPr>
          <w:rFonts w:ascii="Calibri;sans-serif" w:hAnsi="Calibri;sans-serif"/>
          <w:b w:val="false"/>
          <w:color w:val="000000"/>
          <w:sz w:val="20"/>
        </w:rPr>
        <w:t>votes per share. Each share of Class B common stock is convertible into one</w:t>
      </w:r>
      <w:r>
        <w:rPr>
          <w:rFonts w:ascii="Calibri;sans-serif" w:hAnsi="Calibri;sans-serif"/>
          <w:color w:val="000000"/>
          <w:sz w:val="20"/>
        </w:rPr>
        <w:t xml:space="preserve"> </w:t>
      </w:r>
      <w:r>
        <w:rPr>
          <w:rFonts w:ascii="Calibri;sans-serif" w:hAnsi="Calibri;sans-serif"/>
          <w:b w:val="false"/>
          <w:color w:val="000000"/>
          <w:sz w:val="20"/>
        </w:rPr>
        <w:t>share of Class A common stock</w:t>
      </w:r>
      <w:r>
        <w:rPr>
          <w:rFonts w:ascii="Calibri;sans-serif" w:hAnsi="Calibri;sans-serif"/>
          <w:color w:val="000000"/>
          <w:sz w:val="20"/>
        </w:rPr>
        <w:t xml:space="preserve"> </w:t>
      </w:r>
      <w:r>
        <w:rPr>
          <w:rFonts w:ascii="Calibri;sans-serif" w:hAnsi="Calibri;sans-serif"/>
          <w:b w:val="false"/>
          <w:color w:val="000000"/>
          <w:sz w:val="20"/>
        </w:rPr>
        <w:t>at the option of the holder at any time or automatically upon certain events described in the Company’s amended and restated certificate of incorporation, including upon either the death or voluntary termination of the Company’s Executive Chair.</w:t>
      </w:r>
      <w:r>
        <w:rPr>
          <w:rFonts w:ascii="Times New Roman" w:hAnsi="Times New Roman"/>
          <w:color w:val="000000"/>
          <w:sz w:val="20"/>
        </w:rPr>
        <w:t xml:space="preserve"> </w:t>
      </w:r>
      <w:r>
        <w:rPr>
          <w:rFonts w:ascii="Calibri;sans-serif" w:hAnsi="Calibri;sans-serif"/>
          <w:b w:val="false"/>
          <w:color w:val="000000"/>
          <w:sz w:val="20"/>
        </w:rPr>
        <w:t>The Company allocates undistributed earnings attributable to common stock between the common stock classes on a one</w:t>
        <w:noBreakHyphen/>
        <w:t>to</w:t>
        <w:noBreakHyphen/>
        <w:t>one</w:t>
      </w:r>
      <w:r>
        <w:rPr>
          <w:rFonts w:ascii="Times New Roman" w:hAnsi="Times New Roman"/>
          <w:color w:val="000000"/>
          <w:sz w:val="20"/>
        </w:rPr>
        <w:t xml:space="preserve"> </w:t>
      </w:r>
      <w:r>
        <w:rPr>
          <w:rFonts w:ascii="Calibri;sans-serif" w:hAnsi="Calibri;sans-serif"/>
          <w:b w:val="false"/>
          <w:color w:val="000000"/>
          <w:sz w:val="20"/>
        </w:rPr>
        <w:t>basis when computing net income per share. As a result, basic and diluted net income per share of Class A common stock and per share of Class B common stock are equivalent.</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During the three months ended September 30, 2023 and 2022 and the nine months ended September 30, 2023 and 2022,</w:t>
      </w:r>
      <w:r>
        <w:rPr>
          <w:rFonts w:ascii="Times New Roman" w:hAnsi="Times New Roman"/>
          <w:color w:val="000000"/>
          <w:sz w:val="20"/>
        </w:rPr>
        <w:t xml:space="preserve"> </w:t>
      </w:r>
      <w:r>
        <w:rPr>
          <w:rFonts w:ascii="Calibri;sans-serif" w:hAnsi="Calibri;sans-serif"/>
          <w:b w:val="false"/>
          <w:color w:val="000000"/>
          <w:sz w:val="20"/>
        </w:rPr>
        <w:t>no</w:t>
      </w:r>
      <w:r>
        <w:rPr>
          <w:rFonts w:ascii="Times New Roman" w:hAnsi="Times New Roman"/>
          <w:color w:val="000000"/>
          <w:sz w:val="20"/>
        </w:rPr>
        <w:t xml:space="preserve"> </w:t>
      </w:r>
      <w:r>
        <w:rPr>
          <w:rFonts w:ascii="Calibri;sans-serif" w:hAnsi="Calibri;sans-serif"/>
          <w:b w:val="false"/>
          <w:color w:val="000000"/>
          <w:sz w:val="20"/>
        </w:rPr>
        <w:t>shares of Class B common stock were converted into Class A common stock.</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Basic net income per share (“Basic EPS”) is computed by dividing consolidated net income adjusted for net loss attributable to redeemable noncontrolling interest and changes in the redemption value of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Diluted net income per share (“Diluted EPS”) gives effect to all potentially dilutive securities. Diluted EPS is computed by dividing consolidated net income adjusted for net loss attributable to redeemable noncontrolling interest and changes in the redemption value of redeemable noncontrolling interest, if applicable and dilutive,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and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(as defined in Note 2 to the consolidated financial statements contained within the Annual Report), inclusive of CarOffer noncontrolling interest and CO Incentive and Subject Units, that would be issuable as of the end of the reporting period assuming the end of the reporting period was also the end of the contingency period.</w:t>
      </w:r>
      <w:r>
        <w:rPr>
          <w:rFonts w:ascii="Times New Roman" w:hAnsi="Times New Roman"/>
          <w:color w:val="FF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months ended September 30, 2023 and 2022 and for the nine months ended September 30, 2023 and 2022, a reconciliation of the numerator and denominator used in the calculation of basic and diluted net income per share is as follows:</w:t>
      </w:r>
      <w:r>
        <w:rPr>
          <w:rFonts w:ascii="Times New Roman" w:hAnsi="Times New Roman"/>
          <w:color w:val="000000"/>
          <w:sz w:val="20"/>
        </w:rPr>
        <w:t xml:space="preserve"> </w:t>
      </w:r>
    </w:p>
    <w:p>
      <w:pPr>
        <w:pStyle w:val="TextBody"/>
        <w:bidi w:val="0"/>
        <w:ind w:left="0" w:right="0" w:firstLine="490"/>
        <w:jc w:val="both"/>
        <w:rPr/>
      </w:pPr>
      <w:r>
        <w:rPr/>
        <w:t> </w:t>
      </w:r>
    </w:p>
    <w:tbl>
      <w:tblPr>
        <w:tblW w:w="10205" w:type="dxa"/>
        <w:jc w:val="left"/>
        <w:tblInd w:w="0" w:type="dxa"/>
        <w:tblLayout w:type="fixed"/>
        <w:tblCellMar>
          <w:top w:w="28" w:type="dxa"/>
          <w:left w:w="28" w:type="dxa"/>
          <w:bottom w:w="28" w:type="dxa"/>
          <w:right w:w="28" w:type="dxa"/>
        </w:tblCellMar>
      </w:tblPr>
      <w:tblGrid>
        <w:gridCol w:w="3324"/>
        <w:gridCol w:w="146"/>
        <w:gridCol w:w="211"/>
        <w:gridCol w:w="1141"/>
        <w:gridCol w:w="166"/>
        <w:gridCol w:w="146"/>
        <w:gridCol w:w="211"/>
        <w:gridCol w:w="1141"/>
        <w:gridCol w:w="166"/>
        <w:gridCol w:w="146"/>
        <w:gridCol w:w="211"/>
        <w:gridCol w:w="1141"/>
        <w:gridCol w:w="166"/>
        <w:gridCol w:w="146"/>
        <w:gridCol w:w="211"/>
        <w:gridCol w:w="1141"/>
        <w:gridCol w:w="391"/>
      </w:tblGrid>
      <w:tr>
        <w:trPr/>
        <w:tc>
          <w:tcPr>
            <w:tcW w:w="3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32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Consolidated 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44,656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55,723</w:t>
            </w:r>
          </w:p>
        </w:tc>
        <w:tc>
          <w:tcPr>
            <w:tcW w:w="391" w:type="dxa"/>
            <w:tcBorders/>
            <w:shd w:fill="FFFFFF" w:val="clear"/>
            <w:vAlign w:val="center"/>
          </w:tcPr>
          <w:p>
            <w:pPr>
              <w:pStyle w:val="TableContents"/>
              <w:bidi w:val="0"/>
              <w:spacing w:before="0" w:after="283"/>
              <w:jc w:val="left"/>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(3,329</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(1,576</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(10,191</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(3,871</w:t>
            </w:r>
          </w:p>
        </w:tc>
        <w:tc>
          <w:tcPr>
            <w:tcW w:w="3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32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Accretion of redeemable noncontrolling interest to redemption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(86,564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25,056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income attributable to common stockholders — 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106,964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34,538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loss attributable to redeemable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(3,329</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(1,576</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(10,191</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Accretion of redeemable noncontrolling interest to redemption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(86,564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income attributable to common stockholders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44,656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34,538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32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 xml:space="preserve">Weighted-average number of shares of common stock used </w:t>
              <w:br/>
              <w:t xml:space="preserve">   in computing net income per share attributable to </w:t>
              <w:br/>
              <w:t>   common stockholders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113,223,711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118,683,642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113,998,928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118,370,925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 xml:space="preserve">Dilutive effect of share equivalents resulting from stock </w:t>
              <w:br/>
              <w:t>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224,061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252,048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226,715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288,523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2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Dilutive effect of share equivalents resulting from</w:t>
              <w:br/>
              <w:t>   unvested 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874,507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166,415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676,093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455,857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 xml:space="preserve">Dilutive effect of share equivalents resulting from CO </w:t>
              <w:br/>
              <w:t>   Incentive units, Subject Units, and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13,141,531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3,043,965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2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 xml:space="preserve">Weighted-average number of shares of common stock </w:t>
              <w:br/>
              <w:t xml:space="preserve">   used in computing net income per share attributable to </w:t>
              <w:br/>
              <w:t>   common stockholders —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114,322,279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132,243,636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114,901,736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122,159,270</w:t>
            </w:r>
          </w:p>
        </w:tc>
        <w:tc>
          <w:tcPr>
            <w:tcW w:w="391" w:type="dxa"/>
            <w:tcBorders/>
            <w:shd w:fill="FFFFFF" w:val="clear"/>
            <w:vAlign w:val="center"/>
          </w:tcPr>
          <w:p>
            <w:pPr>
              <w:pStyle w:val="TableContents"/>
              <w:bidi w:val="0"/>
              <w:spacing w:before="0" w:after="283"/>
              <w:jc w:val="left"/>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income per share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32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months ended September 30, 2023 and 2022 and for the nine months ended September 30, 2023 and 2022, potentially dilutive common stock equivalents that have been excluded from the calculation of diluted weighted-average shares outstanding as their effect would have been anti-dilutive are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84"/>
        <w:gridCol w:w="146"/>
        <w:gridCol w:w="146"/>
        <w:gridCol w:w="931"/>
        <w:gridCol w:w="146"/>
        <w:gridCol w:w="146"/>
        <w:gridCol w:w="146"/>
        <w:gridCol w:w="931"/>
        <w:gridCol w:w="146"/>
        <w:gridCol w:w="146"/>
        <w:gridCol w:w="146"/>
        <w:gridCol w:w="931"/>
        <w:gridCol w:w="146"/>
        <w:gridCol w:w="146"/>
        <w:gridCol w:w="146"/>
        <w:gridCol w:w="931"/>
        <w:gridCol w:w="191"/>
      </w:tblGrid>
      <w:tr>
        <w:trPr/>
        <w:tc>
          <w:tcPr>
            <w:tcW w:w="4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Stock 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548,695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589,090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555,601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592,259</w:t>
            </w:r>
          </w:p>
        </w:tc>
        <w:tc>
          <w:tcPr>
            <w:tcW w:w="191" w:type="dxa"/>
            <w:tcBorders/>
            <w:shd w:fill="CFF0FC" w:val="clear"/>
            <w:vAlign w:val="center"/>
          </w:tcPr>
          <w:p>
            <w:pPr>
              <w:pStyle w:val="TableContents"/>
              <w:bidi w:val="0"/>
              <w:spacing w:before="0" w:after="283"/>
              <w:jc w:val="left"/>
              <w:rPr/>
            </w:pPr>
            <w:r>
              <w:rPr/>
              <w:t> </w:t>
            </w:r>
          </w:p>
        </w:tc>
      </w:tr>
      <w:tr>
        <w:trPr/>
        <w:tc>
          <w:tcPr>
            <w:tcW w:w="468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Restricted stock units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2,035,557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3,681,606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2,511,429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2,203,409</w:t>
            </w:r>
          </w:p>
        </w:tc>
        <w:tc>
          <w:tcPr>
            <w:tcW w:w="191" w:type="dxa"/>
            <w:tcBorders/>
            <w:shd w:fill="FFFFFF" w:val="clear"/>
            <w:vAlign w:val="center"/>
          </w:tcPr>
          <w:p>
            <w:pPr>
              <w:pStyle w:val="TableContents"/>
              <w:bidi w:val="0"/>
              <w:spacing w:before="0" w:after="283"/>
              <w:jc w:val="left"/>
              <w:rPr/>
            </w:pPr>
            <w:r>
              <w:rPr/>
              <w:t> </w:t>
            </w:r>
          </w:p>
        </w:tc>
      </w:tr>
      <w:tr>
        <w:trPr/>
        <w:tc>
          <w:tcPr>
            <w:tcW w:w="468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 Incentive Units, Subject Units and noncontrolling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9,001,896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and nine months ended September 30, 2023, the number of issuable shares estimated upon exercise of the 2024 Put Right was zero.</w:t>
      </w:r>
      <w:r>
        <w:rPr>
          <w:rFonts w:ascii="Times New Roman" w:hAnsi="Times New Roman"/>
          <w:color w:val="FF0000"/>
          <w:sz w:val="20"/>
        </w:rPr>
        <w:t xml:space="preserve"> </w:t>
      </w:r>
      <w:r>
        <w:rPr>
          <w:rFonts w:ascii="Calibri;sans-serif" w:hAnsi="Calibri;sans-serif"/>
          <w:b w:val="false"/>
          <w:color w:val="000000"/>
          <w:sz w:val="20"/>
        </w:rPr>
        <w:t>For the three and nine months ended September 30, 2022, there was no effect of potentially dilutive shares as the numerator was negative. Additionally, during the three months ended March 31, 2022, the Company modified its market-based performance awards to contain only service-based vesting conditions in line with the Company's other RSU awards. As a result, there are no</w:t>
      </w:r>
      <w:r>
        <w:rPr>
          <w:rFonts w:ascii="Times New Roman" w:hAnsi="Times New Roman"/>
          <w:color w:val="000000"/>
          <w:sz w:val="20"/>
        </w:rPr>
        <w:t xml:space="preserve"> </w:t>
      </w:r>
      <w:r>
        <w:rPr>
          <w:rFonts w:ascii="Calibri;sans-serif" w:hAnsi="Calibri;sans-serif"/>
          <w:b w:val="false"/>
          <w:color w:val="000000"/>
          <w:sz w:val="20"/>
        </w:rPr>
        <w:t>market-based RSUs outstanding as of September 30, 2023 or 2022.</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11. Income Taxes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During the three months ended September 30, 2023 and 2022 and the nine months ended September 30, 2023 and 2022, the Company recorded an income tax provision of $8,289, $10,032, $23,421, and $23,059, representing an effective tax rate of 27.1%, 33.0%, 29.9%, and 27.9%, respectively. The effective tax rates for the three months ended September 30, 2023 and 2022 and the nine months ended September 30, 2023 and 2022</w:t>
      </w:r>
      <w:r>
        <w:rPr>
          <w:rFonts w:ascii="Times New Roman" w:hAnsi="Times New Roman"/>
          <w:color w:val="000000"/>
          <w:sz w:val="20"/>
        </w:rPr>
        <w:t xml:space="preserve"> </w:t>
      </w:r>
      <w:r>
        <w:rPr>
          <w:rFonts w:ascii="Calibri;sans-serif" w:hAnsi="Calibri;sans-serif"/>
          <w:b w:val="false"/>
          <w:color w:val="000000"/>
          <w:sz w:val="20"/>
        </w:rPr>
        <w:t>were greater than the statutory tax rate of 21%, principally due to state and local income taxes, shortfalls on the taxable compensation of stock-based awards, and the Section 162(m) excess officer compensation limitation, partially offset by federal and state research and development tax credits.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Company and its subsidiaries are subject to various U.S. federal, state, and foreign income tax examinations. The Company is currently not subject to income tax examination for the tax years of 2018</w:t>
      </w:r>
      <w:r>
        <w:rPr>
          <w:rFonts w:ascii="Times New Roman" w:hAnsi="Times New Roman"/>
          <w:color w:val="000000"/>
          <w:sz w:val="20"/>
        </w:rPr>
        <w:t xml:space="preserve"> </w:t>
      </w:r>
      <w:r>
        <w:rPr>
          <w:rFonts w:ascii="Calibri;sans-serif" w:hAnsi="Calibri;sans-serif"/>
          <w:b w:val="false"/>
          <w:color w:val="000000"/>
          <w:sz w:val="20"/>
        </w:rPr>
        <w:t>and prior as a result of applicable statute of limitations of the Internal Revenue Service and a majority of applicable state jurisdictions. The Company is currently not subject to examination in its foreign jurisdictions for tax years 2017</w:t>
      </w:r>
      <w:r>
        <w:rPr>
          <w:rFonts w:ascii="Times New Roman" w:hAnsi="Times New Roman"/>
          <w:color w:val="000000"/>
          <w:sz w:val="20"/>
        </w:rPr>
        <w:t xml:space="preserve"> </w:t>
      </w:r>
      <w:r>
        <w:rPr>
          <w:rFonts w:ascii="Calibri;sans-serif" w:hAnsi="Calibri;sans-serif"/>
          <w:b w:val="false"/>
          <w:color w:val="000000"/>
          <w:sz w:val="20"/>
        </w:rPr>
        <w:t>and prior.</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12. Segment and Geographic Information</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Effective as of the fourth quarter of 2022, the Company revised its segment reporting from one</w:t>
      </w:r>
      <w:r>
        <w:rPr>
          <w:rFonts w:ascii="Times New Roman" w:hAnsi="Times New Roman"/>
          <w:color w:val="000000"/>
          <w:sz w:val="20"/>
        </w:rPr>
        <w:t xml:space="preserve"> </w:t>
      </w:r>
      <w:r>
        <w:rPr>
          <w:rFonts w:ascii="Calibri;sans-serif" w:hAnsi="Calibri;sans-serif"/>
          <w:b w:val="false"/>
          <w:color w:val="000000"/>
          <w:sz w:val="20"/>
        </w:rPr>
        <w:t>reportable segment to two</w:t>
      </w:r>
      <w:r>
        <w:rPr>
          <w:rFonts w:ascii="Times New Roman" w:hAnsi="Times New Roman"/>
          <w:color w:val="000000"/>
          <w:sz w:val="20"/>
        </w:rPr>
        <w:t xml:space="preserve"> </w:t>
      </w:r>
      <w:r>
        <w:rPr>
          <w:rFonts w:ascii="Calibri;sans-serif" w:hAnsi="Calibri;sans-serif"/>
          <w:b w:val="false"/>
          <w:color w:val="000000"/>
          <w:sz w:val="20"/>
        </w:rPr>
        <w:t>reportable segments, U.S. Marketplace and Digital Wholesale. The change in segment reporting was a triggering event for an evaluation of goodwill impairment. As such, the Company evaluated for goodwill impairment on December 31, 2022, and did not identify any impairment to its goodwill. The change in segment reporting was made to align with financial reporting results regularly provided to the Company's chief operating decision maker ("CODM") to assess the business. The CODM reviews segment revenue and segment income (loss) from operations as a proxy for the performance of the Company’s operations.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U.S. Marketplace segment derives revenue from marketplace services from customers within the United States. The Digital Wholesale segment derives revenue from Dealer-to-Dealer and IMCO services and products which are sold on the CarOffer platform. The Company also has two operating segments which are individually immaterial and therefore aggregated into the Other category to reconcile reportable segments to the Unaudited Condensed Consolidated Income Statements. The Other category derives revenue from marketplace services from customers outside of the United States.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Revenue and costs discretely incurred by reportable segments, including depreciation and amortization, are included in the calculation of reportable segment income (loss) from operations. For the year ended December 31, 2022, Digital Wholesale segment income (loss) from operations did not reflect certain Dealer-to-Dealer and IMCO related capitalized website development amortization incurred by the U.S. Marketplace segment. During the three months ended March 31, 2023, the Company updated Digital Wholesale segment income (loss) from operations to reflect certain Dealer-to-Dealer and IMCO related capitalized website development amortization incurred by the U.S. Marketplace segment and accordingly updated Digital Wholesale segment income (loss) from operations for the three and nine months ended September 30, 2022 for comparative purposes. Digital Wholesale segment income (loss) from operations also reflects certain IMCO marketing and lead generation fees allocated from the U.S. Marketplace segment. Asset information by reportable segment is not provided to the CODM as asset information is assessed and reviewed on a consolidated basis.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three months ended September 30, 2023 and 2022 and for the nine months ended September 30, 2023 and 2022, segment revenue, segment income (loss) from operations, and segment depreciation and amortization are as follows:</w:t>
      </w:r>
    </w:p>
    <w:p>
      <w:pPr>
        <w:pStyle w:val="TextBody"/>
        <w:bidi w:val="0"/>
        <w:ind w:left="0" w:right="0" w:firstLine="490"/>
        <w:jc w:val="both"/>
        <w:rPr/>
      </w:pPr>
      <w:r>
        <w:rPr/>
        <w:t> </w:t>
      </w:r>
    </w:p>
    <w:tbl>
      <w:tblPr>
        <w:tblW w:w="9417" w:type="dxa"/>
        <w:jc w:val="left"/>
        <w:tblInd w:w="0" w:type="dxa"/>
        <w:tblLayout w:type="fixed"/>
        <w:tblCellMar>
          <w:top w:w="28" w:type="dxa"/>
          <w:left w:w="28" w:type="dxa"/>
          <w:bottom w:w="28" w:type="dxa"/>
          <w:right w:w="28" w:type="dxa"/>
        </w:tblCellMar>
      </w:tblPr>
      <w:tblGrid>
        <w:gridCol w:w="1686"/>
        <w:gridCol w:w="546"/>
        <w:gridCol w:w="211"/>
        <w:gridCol w:w="781"/>
        <w:gridCol w:w="546"/>
        <w:gridCol w:w="546"/>
        <w:gridCol w:w="211"/>
        <w:gridCol w:w="781"/>
        <w:gridCol w:w="546"/>
        <w:gridCol w:w="546"/>
        <w:gridCol w:w="211"/>
        <w:gridCol w:w="781"/>
        <w:gridCol w:w="146"/>
        <w:gridCol w:w="146"/>
        <w:gridCol w:w="211"/>
        <w:gridCol w:w="931"/>
        <w:gridCol w:w="591"/>
      </w:tblGrid>
      <w:tr>
        <w:trPr/>
        <w:tc>
          <w:tcPr>
            <w:tcW w:w="16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8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CFF0FC" w:val="clear"/>
            <w:vAlign w:val="center"/>
          </w:tcPr>
          <w:p>
            <w:pPr>
              <w:pStyle w:val="TableContents"/>
              <w:bidi w:val="0"/>
              <w:spacing w:before="0" w:after="283"/>
              <w:jc w:val="left"/>
              <w:rPr>
                <w:rFonts w:ascii="Calibri;sans-serif" w:hAnsi="Calibri;sans-serif"/>
                <w:b w:val="false"/>
                <w:i/>
                <w:color w:val="000000"/>
                <w:sz w:val="20"/>
              </w:rPr>
            </w:pPr>
            <w:r>
              <w:rPr>
                <w:rFonts w:ascii="Calibri;sans-serif" w:hAnsi="Calibri;sans-serif"/>
                <w:b w:val="false"/>
                <w:i/>
                <w:color w:val="000000"/>
                <w:sz w:val="20"/>
              </w:rPr>
              <w:t>Segment Revenue:</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686" w:type="dxa"/>
            <w:tcBorders/>
            <w:shd w:fill="FFFFFF"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164,323</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154,402</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478,387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459,044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686" w:type="dxa"/>
            <w:tcBorders/>
            <w:shd w:fill="CFF0FC"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41,510</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261,145</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175,133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875,767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686" w:type="dxa"/>
            <w:tcBorders/>
            <w:shd w:fill="FFFFFF"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Other</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13,586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10,907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37,599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33,480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6" w:type="dxa"/>
            <w:tcBorders/>
            <w:shd w:fill="CFF0FC" w:val="clear"/>
            <w:vAlign w:val="center"/>
          </w:tcPr>
          <w:p>
            <w:pPr>
              <w:pStyle w:val="TableContents"/>
              <w:bidi w:val="0"/>
              <w:spacing w:before="0" w:after="283"/>
              <w:ind w:left="0" w:right="0" w:firstLine="400"/>
              <w:jc w:val="left"/>
              <w:rPr>
                <w:rFonts w:ascii="Calibri;sans-serif" w:hAnsi="Calibri;sans-serif"/>
                <w:b w:val="false"/>
                <w:color w:val="000000"/>
                <w:sz w:val="20"/>
              </w:rPr>
            </w:pPr>
            <w:r>
              <w:rPr>
                <w:rFonts w:ascii="Calibri;sans-serif" w:hAnsi="Calibri;sans-serif"/>
                <w:b w:val="false"/>
                <w:color w:val="000000"/>
                <w:sz w:val="20"/>
              </w:rPr>
              <w:t>Total</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219,419</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426,454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691,119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1,368,291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tbl>
      <w:tblPr>
        <w:tblW w:w="8677" w:type="dxa"/>
        <w:jc w:val="left"/>
        <w:tblInd w:w="0" w:type="dxa"/>
        <w:tblLayout w:type="fixed"/>
        <w:tblCellMar>
          <w:top w:w="28" w:type="dxa"/>
          <w:left w:w="28" w:type="dxa"/>
          <w:bottom w:w="28" w:type="dxa"/>
          <w:right w:w="28" w:type="dxa"/>
        </w:tblCellMar>
      </w:tblPr>
      <w:tblGrid>
        <w:gridCol w:w="3316"/>
        <w:gridCol w:w="146"/>
        <w:gridCol w:w="211"/>
        <w:gridCol w:w="736"/>
        <w:gridCol w:w="166"/>
        <w:gridCol w:w="146"/>
        <w:gridCol w:w="211"/>
        <w:gridCol w:w="676"/>
        <w:gridCol w:w="166"/>
        <w:gridCol w:w="146"/>
        <w:gridCol w:w="211"/>
        <w:gridCol w:w="736"/>
        <w:gridCol w:w="166"/>
        <w:gridCol w:w="146"/>
        <w:gridCol w:w="211"/>
        <w:gridCol w:w="676"/>
        <w:gridCol w:w="6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vAlign w:val="center"/>
          </w:tcPr>
          <w:p>
            <w:pPr>
              <w:pStyle w:val="TableContents"/>
              <w:bidi w:val="0"/>
              <w:spacing w:before="0" w:after="283"/>
              <w:jc w:val="left"/>
              <w:rPr>
                <w:rFonts w:ascii="Calibri;sans-serif" w:hAnsi="Calibri;sans-serif"/>
                <w:b w:val="false"/>
                <w:i/>
                <w:color w:val="000000"/>
                <w:sz w:val="20"/>
              </w:rPr>
            </w:pPr>
            <w:r>
              <w:rPr>
                <w:rFonts w:ascii="Calibri;sans-serif" w:hAnsi="Calibri;sans-serif"/>
                <w:b w:val="false"/>
                <w:i/>
                <w:color w:val="000000"/>
                <w:sz w:val="20"/>
              </w:rPr>
              <w:t>Segment Income (Loss) from Operations: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31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33,285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34,660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92,842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1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(11,652</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(3,599</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(29,184</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(8,348</w:t>
            </w:r>
          </w:p>
        </w:tc>
        <w:tc>
          <w:tcPr>
            <w:tcW w:w="611" w:type="dxa"/>
            <w:tcBorders/>
            <w:shd w:fill="CFF0FC"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31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(5,637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316" w:type="dxa"/>
            <w:tcBorders/>
            <w:shd w:fill="CFF0FC"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28,656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78,857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tbl>
      <w:tblPr>
        <w:tblW w:w="8507" w:type="dxa"/>
        <w:jc w:val="left"/>
        <w:tblInd w:w="0" w:type="dxa"/>
        <w:tblLayout w:type="fixed"/>
        <w:tblCellMar>
          <w:top w:w="28" w:type="dxa"/>
          <w:left w:w="28" w:type="dxa"/>
          <w:bottom w:w="28" w:type="dxa"/>
          <w:right w:w="28" w:type="dxa"/>
        </w:tblCellMar>
      </w:tblPr>
      <w:tblGrid>
        <w:gridCol w:w="3346"/>
        <w:gridCol w:w="146"/>
        <w:gridCol w:w="211"/>
        <w:gridCol w:w="676"/>
        <w:gridCol w:w="146"/>
        <w:gridCol w:w="146"/>
        <w:gridCol w:w="211"/>
        <w:gridCol w:w="676"/>
        <w:gridCol w:w="146"/>
        <w:gridCol w:w="146"/>
        <w:gridCol w:w="211"/>
        <w:gridCol w:w="676"/>
        <w:gridCol w:w="146"/>
        <w:gridCol w:w="146"/>
        <w:gridCol w:w="211"/>
        <w:gridCol w:w="676"/>
        <w:gridCol w:w="5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Calibri;sans-serif" w:hAnsi="Calibri;sans-serif"/>
                <w:b w:val="false"/>
                <w:i/>
                <w:color w:val="000000"/>
                <w:sz w:val="20"/>
              </w:rPr>
            </w:pPr>
            <w:r>
              <w:rPr>
                <w:rFonts w:ascii="Calibri;sans-serif" w:hAnsi="Calibri;sans-serif"/>
                <w:b w:val="false"/>
                <w:i/>
                <w:color w:val="000000"/>
                <w:sz w:val="20"/>
              </w:rPr>
              <w:t>Segment Depreciation and Amortization: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8,487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34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26,728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24,798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6" w:type="dxa"/>
            <w:tcBorders/>
            <w:shd w:fill="CFF0FC"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33,602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months ended September 30, 2023 and 2022 and for the nine months ended September 30, 2023 and 2022, a reconciliation between total segment income from operations to consolidated income before income taxes is as follows:</w:t>
      </w:r>
      <w:r>
        <w:rPr>
          <w:rFonts w:ascii="Times New Roman" w:hAnsi="Times New Roman"/>
          <w:color w:val="000000"/>
          <w:sz w:val="20"/>
        </w:rPr>
        <w:t xml:space="preserve"> </w:t>
      </w:r>
    </w:p>
    <w:p>
      <w:pPr>
        <w:pStyle w:val="TextBody"/>
        <w:bidi w:val="0"/>
        <w:ind w:left="0" w:right="0" w:firstLine="490"/>
        <w:jc w:val="both"/>
        <w:rPr/>
      </w:pPr>
      <w:r>
        <w:rPr/>
        <w:t> </w:t>
      </w:r>
    </w:p>
    <w:tbl>
      <w:tblPr>
        <w:tblW w:w="818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11"/>
        <w:gridCol w:w="676"/>
        <w:gridCol w:w="146"/>
        <w:gridCol w:w="146"/>
        <w:gridCol w:w="211"/>
        <w:gridCol w:w="676"/>
        <w:gridCol w:w="146"/>
        <w:gridCol w:w="146"/>
        <w:gridCol w:w="211"/>
        <w:gridCol w:w="676"/>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Total segment 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23,095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28,656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78,857</w:t>
            </w:r>
          </w:p>
        </w:tc>
        <w:tc>
          <w:tcPr>
            <w:tcW w:w="21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0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Consolidated 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27,262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28,856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68,077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78,782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of September 30, 2023 and December 31, 2022, segment assets are as follows:</w:t>
      </w:r>
    </w:p>
    <w:p>
      <w:pPr>
        <w:pStyle w:val="TextBody"/>
        <w:bidi w:val="0"/>
        <w:ind w:left="0" w:right="0" w:firstLine="490"/>
        <w:jc w:val="both"/>
        <w:rPr/>
      </w:pPr>
      <w:r>
        <w:rPr/>
        <w:t> </w:t>
      </w:r>
    </w:p>
    <w:tbl>
      <w:tblPr>
        <w:tblW w:w="4952" w:type="dxa"/>
        <w:jc w:val="left"/>
        <w:tblInd w:w="0" w:type="dxa"/>
        <w:tblLayout w:type="fixed"/>
        <w:tblCellMar>
          <w:top w:w="28" w:type="dxa"/>
          <w:left w:w="28" w:type="dxa"/>
          <w:bottom w:w="28" w:type="dxa"/>
          <w:right w:w="28" w:type="dxa"/>
        </w:tblCellMar>
      </w:tblPr>
      <w:tblGrid>
        <w:gridCol w:w="1686"/>
        <w:gridCol w:w="146"/>
        <w:gridCol w:w="211"/>
        <w:gridCol w:w="931"/>
        <w:gridCol w:w="146"/>
        <w:gridCol w:w="146"/>
        <w:gridCol w:w="233"/>
        <w:gridCol w:w="862"/>
        <w:gridCol w:w="591"/>
      </w:tblGrid>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As of</w:t>
              <w:br/>
              <w:t>December 31,</w:t>
              <w:br/>
              <w:t xml:space="preserve">2022 </w:t>
            </w:r>
            <w:r>
              <w:rPr>
                <w:rFonts w:ascii="Calibri;sans-serif" w:hAnsi="Calibri;sans-serif"/>
                <w:b/>
                <w:color w:val="000000"/>
                <w:sz w:val="11"/>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1686" w:type="dxa"/>
            <w:tcBorders/>
            <w:shd w:fill="CFF0FC" w:val="clear"/>
            <w:vAlign w:val="center"/>
          </w:tcPr>
          <w:p>
            <w:pPr>
              <w:pStyle w:val="TableContents"/>
              <w:bidi w:val="0"/>
              <w:spacing w:before="0" w:after="283"/>
              <w:jc w:val="left"/>
              <w:rPr>
                <w:rFonts w:ascii="Calibri;sans-serif" w:hAnsi="Calibri;sans-serif"/>
                <w:b w:val="false"/>
                <w:i/>
                <w:color w:val="000000"/>
                <w:sz w:val="20"/>
              </w:rPr>
            </w:pPr>
            <w:r>
              <w:rPr>
                <w:rFonts w:ascii="Calibri;sans-serif" w:hAnsi="Calibri;sans-serif"/>
                <w:b w:val="false"/>
                <w:i/>
                <w:color w:val="000000"/>
                <w:sz w:val="20"/>
              </w:rPr>
              <w:t>Segment 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68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663,410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525,103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68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333,367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358,289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68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51,948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43,710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6" w:type="dxa"/>
            <w:tcBorders/>
            <w:shd w:fill="CFF0FC"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1,048,725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927,102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489" w:right="0" w:hanging="0"/>
        <w:jc w:val="both"/>
        <w:rPr>
          <w:rFonts w:ascii="Calibri" w:hAnsi="Calibri"/>
          <w:b w:val="false"/>
          <w:color w:val="000000"/>
          <w:sz w:val="20"/>
        </w:rPr>
      </w:pPr>
      <w:r>
        <w:rPr>
          <w:rFonts w:ascii="Calibri" w:hAnsi="Calibri"/>
          <w:b w:val="false"/>
          <w:color w:val="000000"/>
          <w:sz w:val="20"/>
        </w:rPr>
        <w:t>(1)</w:t>
      </w:r>
    </w:p>
    <w:p>
      <w:pPr>
        <w:pStyle w:val="TextBody"/>
        <w:bidi w:val="0"/>
        <w:spacing w:before="120" w:after="283"/>
        <w:jc w:val="both"/>
        <w:rPr>
          <w:rFonts w:ascii="Calibri;sans-serif" w:hAnsi="Calibri;sans-serif"/>
          <w:b w:val="false"/>
          <w:color w:val="000000"/>
          <w:sz w:val="13"/>
        </w:rPr>
      </w:pPr>
      <w:r>
        <w:rPr>
          <w:rFonts w:ascii="Calibri;sans-serif" w:hAnsi="Calibri;sans-serif"/>
          <w:b w:val="false"/>
          <w:color w:val="000000"/>
          <w:sz w:val="13"/>
        </w:rPr>
        <w:t xml:space="preserve">As of December 31, 2022, Digital Wholesale assets did not reflect certain Dealer-to-Dealer and IMCO related capitalized website development assets from the U.S. Marketplace segment. During the three months ended March 31, 2023, the Company updated Digital Wholesale assets to reflect certain Dealer-to-Dealer and IMCO related capitalized website development amortization assets from the U.S. Marketplace segment and accordingly updated Digital Wholesale assets as of December 31, 2022 for comparative purposes.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months ended September 30, 2023 and 2022 and for the nine months ended September 30, 2023 and 2022, revenue by geographic region is as follows:</w:t>
      </w:r>
      <w:r>
        <w:rPr>
          <w:rFonts w:ascii="Times New Roman" w:hAnsi="Times New Roman"/>
          <w:color w:val="000000"/>
          <w:sz w:val="20"/>
        </w:rPr>
        <w:t xml:space="preserve"> </w:t>
      </w:r>
    </w:p>
    <w:p>
      <w:pPr>
        <w:pStyle w:val="TextBody"/>
        <w:bidi w:val="0"/>
        <w:ind w:left="0" w:right="0" w:firstLine="490"/>
        <w:jc w:val="both"/>
        <w:rPr/>
      </w:pPr>
      <w:r>
        <w:rPr/>
        <w:t> </w:t>
      </w:r>
    </w:p>
    <w:tbl>
      <w:tblPr>
        <w:tblW w:w="8372" w:type="dxa"/>
        <w:jc w:val="left"/>
        <w:tblInd w:w="0" w:type="dxa"/>
        <w:tblLayout w:type="fixed"/>
        <w:tblCellMar>
          <w:top w:w="28" w:type="dxa"/>
          <w:left w:w="28" w:type="dxa"/>
          <w:bottom w:w="28" w:type="dxa"/>
          <w:right w:w="28" w:type="dxa"/>
        </w:tblCellMar>
      </w:tblPr>
      <w:tblGrid>
        <w:gridCol w:w="2641"/>
        <w:gridCol w:w="146"/>
        <w:gridCol w:w="211"/>
        <w:gridCol w:w="781"/>
        <w:gridCol w:w="146"/>
        <w:gridCol w:w="146"/>
        <w:gridCol w:w="211"/>
        <w:gridCol w:w="781"/>
        <w:gridCol w:w="146"/>
        <w:gridCol w:w="146"/>
        <w:gridCol w:w="211"/>
        <w:gridCol w:w="781"/>
        <w:gridCol w:w="146"/>
        <w:gridCol w:w="146"/>
        <w:gridCol w:w="211"/>
        <w:gridCol w:w="931"/>
        <w:gridCol w:w="5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Calibri;sans-serif" w:hAnsi="Calibri;sans-serif"/>
                <w:b w:val="false"/>
                <w:i/>
                <w:color w:val="000000"/>
                <w:sz w:val="20"/>
              </w:rPr>
            </w:pPr>
            <w:r>
              <w:rPr>
                <w:rFonts w:ascii="Calibri;sans-serif" w:hAnsi="Calibri;sans-serif"/>
                <w:b w:val="false"/>
                <w:i/>
                <w:color w:val="000000"/>
                <w:sz w:val="20"/>
              </w:rPr>
              <w:t>Revenue by Geographic Region: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205,833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415,547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653,520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1,334,811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41"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37,599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33,480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41" w:type="dxa"/>
            <w:tcBorders/>
            <w:shd w:fill="FFFFFF"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219,419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426,454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691,119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1,368,291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ind w:left="0" w:right="0" w:firstLine="490"/>
        <w:jc w:val="both"/>
        <w:rPr/>
      </w:pPr>
      <w:r>
        <w:rPr/>
        <w:t>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13. Subsequent events</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CarOffer Purchase Agreement</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On November 6, 2023, the Company entered into a Membership Interest Purchase Agreement (the “Purchase Agreement”) by and among the Company, CarOffer, CarOffer Investors Holding, LLC, a Delaware limited liability company, CarOffer Midco, LLC, a Delaware limited liability company, each of the persons set forth on Schedule 1.1(a) to the Purchase Agreement (the “Indirect Members”), Bruce T. Thompson, an individual residing in Texas, as the sellers’ representative, and the responsible party signatory thereto, pursuant to which the Company agreed to acquire the remaining interest in CarOffer that the Company does not presently own (the “CarOffer Transaction”).</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Upon consummation of the CarOffer Transaction (the “Closing”), the Company will acquire the remaining interest in CarOffer that the Company does not presently own for an aggregate consideration of $75.0</w:t>
      </w:r>
      <w:r>
        <w:rPr>
          <w:rFonts w:ascii="Times New Roman" w:hAnsi="Times New Roman"/>
          <w:color w:val="000000"/>
          <w:sz w:val="20"/>
        </w:rPr>
        <w:t xml:space="preserve"> </w:t>
      </w:r>
      <w:r>
        <w:rPr>
          <w:rFonts w:ascii="Calibri;sans-serif" w:hAnsi="Calibri;sans-serif"/>
          <w:b w:val="false"/>
          <w:color w:val="000000"/>
          <w:sz w:val="20"/>
        </w:rPr>
        <w:t>million in cash (the “Consideration”), subject to certain adjustments set forth in the Purchase Agreement.</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Purchase Agreement contains customary representations, warranties, and covenants by the Company and CarOffer. A portion of the Consideration will be held in escrow to secure certain payment and indemnification obligations of the Indirect Members in accordance with the terms of the Purchase Agreement.</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Closing is subject to customary closing conditions and is expected to occur in the fourth quarter of 2023. The Company may terminate the Purchase Agreement if the Closing has not occurred on or before December 31, 2023, subject to the terms of the Purchase Agreement.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Following the Closing, the Company will enter into the Fourth Amended and Restated Limited Liability Company Agreement (the “CarOffer Operating Agreement”), pursuant to which, among other matters, the existing put and call rights will terminate and the CarOffer Operating Agreement will reflect that CarOffer is a wholly-owned subsidiary of the Company.</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Company will evaluate the impact of the CarOffer Transaction during the fourth quarter of 2023, which will likely result in charges to the Company’s consolidated financial statements, some of which could be material.</w:t>
      </w:r>
    </w:p>
    <w:p>
      <w:pPr>
        <w:pStyle w:val="TextBody"/>
        <w:bidi w:val="0"/>
        <w:spacing w:before="240" w:after="283"/>
        <w:jc w:val="both"/>
        <w:rPr>
          <w:rFonts w:ascii="Times New Roman" w:hAnsi="Times New Roman"/>
          <w:sz w:val="20"/>
        </w:rPr>
      </w:pPr>
      <w:r>
        <w:rPr>
          <w:rFonts w:ascii="Calibri;sans-serif" w:hAnsi="Calibri;sans-serif"/>
          <w:b w:val="false"/>
          <w:i/>
          <w:color w:val="000000"/>
          <w:sz w:val="20"/>
        </w:rPr>
        <w:t>2024 Share Repurchase Program</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On November 7, 2023, the Company announced that the Board authorized a share repurchase program (the “2024 Share Repurchase Program”), pursuant to which the Company may, from time to time, purchase shares of its Class A common stock for an aggregate purchase price not to exceed $250.0</w:t>
      </w:r>
      <w:r>
        <w:rPr>
          <w:rFonts w:ascii="Times New Roman" w:hAnsi="Times New Roman"/>
          <w:color w:val="000000"/>
          <w:sz w:val="20"/>
        </w:rPr>
        <w:t xml:space="preserve"> </w:t>
      </w:r>
      <w:r>
        <w:rPr>
          <w:rFonts w:ascii="Calibri;sans-serif" w:hAnsi="Calibri;sans-serif"/>
          <w:b w:val="false"/>
          <w:color w:val="000000"/>
          <w:sz w:val="20"/>
        </w:rPr>
        <w:t>million. Share repurchases under the 2024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2024 Share Repurchase Program does not obligate the Company to repurchase any minimum dollar amount or number of shares. The 2024 Share Repurchase Program has an effective date of January 1, 2024, and an expiration date of</w:t>
      </w:r>
      <w:r>
        <w:rPr>
          <w:rFonts w:ascii="Times New Roman" w:hAnsi="Times New Roman"/>
          <w:color w:val="000000"/>
          <w:sz w:val="20"/>
        </w:rPr>
        <w:t xml:space="preserve"> </w:t>
      </w:r>
      <w:r>
        <w:rPr>
          <w:rFonts w:ascii="Calibri;sans-serif" w:hAnsi="Calibri;sans-serif"/>
          <w:b w:val="false"/>
          <w:color w:val="000000"/>
          <w:sz w:val="20"/>
        </w:rPr>
        <w:t>December 31, 2024, and prior to its expiration may be modified, suspended, or discontinued by the Board at any time without prior notice. All repurchased shares under the 2024 Share Repurchase Program will be retired. The Company expects to fund share repurchases under the 2024 Share Repurchase Program through cash on hand and cash generated from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0" w:name="i_item2"/>
      <w:bookmarkEnd w:id="10"/>
      <w:r>
        <w:rPr>
          <w:rFonts w:ascii="Calibri;sans-serif" w:hAnsi="Calibri;sans-serif"/>
          <w:b/>
          <w:color w:val="000000"/>
          <w:sz w:val="20"/>
        </w:rPr>
        <w:t xml:space="preserve">Item 2. Management’s Discussion and Analysis of </w:t>
      </w:r>
      <w:bookmarkStart w:id="11" w:name="item_2_managements_discussion_analysis_f"/>
      <w:bookmarkEnd w:id="11"/>
      <w:r>
        <w:rPr>
          <w:rFonts w:ascii="Calibri;sans-serif" w:hAnsi="Calibri;sans-serif"/>
          <w:b/>
          <w:color w:val="000000"/>
          <w:sz w:val="20"/>
        </w:rPr>
        <w:t>Financial Condition and Results of Operations.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i/>
          <w:color w:val="000000"/>
          <w:sz w:val="20"/>
        </w:rPr>
        <w:t>You should read the following discussion and analysis of our financial condition and results of operations together with our Unaudited Condensed Consolidated Financial Statements, and the related notes thereto, appearing elsewhere in this Quarterly Report, and our consolidated financial statements and the related notes and other financial information included in our Annual Report on Form 10-K for the year ended December 31, 2022, filed with the U.S. Securities and Exchange Commission, or SEC, on March 1, 2023, or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i/>
          <w:color w:val="000000"/>
          <w:sz w:val="20"/>
        </w:rPr>
        <w:t>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i/>
          <w:color w:val="000000"/>
          <w:sz w:val="20"/>
        </w:rPr>
      </w:pPr>
      <w:r>
        <w:rPr>
          <w:rFonts w:ascii="Calibri;sans-serif" w:hAnsi="Calibri;sans-serif"/>
          <w:b w:val="false"/>
          <w:i/>
          <w:color w:val="000000"/>
          <w:sz w:val="20"/>
        </w:rPr>
        <w:t>This section of this Quarterly Report discusses 2023 and 2022 items and year-to-year comparisons between 2023 and 2022. The period</w:t>
        <w:noBreakHyphen/>
        <w:t>to</w:t>
        <w:noBreakHyphen/>
        <w:t>period comparison of financial results is not necessarily indicative of future results.</w:t>
      </w:r>
    </w:p>
    <w:p>
      <w:pPr>
        <w:pStyle w:val="TextBody"/>
        <w:bidi w:val="0"/>
        <w:spacing w:before="240" w:after="283"/>
        <w:jc w:val="both"/>
        <w:rPr>
          <w:rFonts w:ascii="Times New Roman" w:hAnsi="Times New Roman"/>
          <w:sz w:val="20"/>
        </w:rPr>
      </w:pPr>
      <w:r>
        <w:rPr>
          <w:rFonts w:ascii="Calibri;sans-serif" w:hAnsi="Calibri;sans-serif"/>
          <w:b/>
          <w:color w:val="000000"/>
          <w:sz w:val="20"/>
        </w:rPr>
        <w:t>Company Overview</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CarGurus, Inc. is a multinational, online automotive platform for buying and selling vehicles that is building upon its industry-leading listings marketplace with both digital retail solutions and the CarOffer digital wholesale platform. The CarGurus platform gives consumers the confidence to buy and/or sell a vehicle either online or in-person, and it gives dealerships the power to accurately price, instantly acquire, effectively market, and quickly sell vehicles, all with a nationwide reach. We use proprietary technology, search algorithms, and data analytics to bring trust, transparency, and competitive pricing to the automotive shopping experience.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are headquartered in Cambridge, Massachusetts and were incorporated in the State of Delaware on June 26, 2015.</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operate principally in the United States. In the United States, we also operate as independent brands – the Autolist online marketplace, which we wholly own, and the CarOffer digital wholesale platform, in which we hold a 51% equity interest. In addition to the United States, we operate online marketplaces under the CarGurus brand in Canada and the United Kingdom. In the United Kingdom, we also operate as an independent brand the PistonHeads online marketplace, which we wholly own.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have subsidiaries in the United States, Canada, Ireland, and the United Kingdom. Effective as of the fourth quarter of 2022, we revised our segment reporting from one reportable segment to two reportable segments – U.S. Marketplace and Digital Wholesale. See Note 12 of the Unaudited Condensed Consolidated Financial Statements included elsewhere in this Quarterly Report for further segment reporting and geographic information.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and Real-time Performance Marketing, or RPM, digital advertising suite, and Digital Retail, (ii) advertising revenue from auto manufacturers and other auto-related brand advertisers, and (iii) revenue from partnerships with financing services companies. We generate wholesale revenue primarily from (x) transaction fees earned from facilitating the purchase and sale of vehicles between dealers, or Dealer-to-Dealer transactions, (y) transaction fees earned from sale of vehicles to dealers that we acquire at other marketplaces, and (z) transaction fees earned from performing inspection and transportation services, inclusive of Dealer-to-Dealer transactions, other marketplace-to-dealer transactions, and IMCO transactions (as defined below). We generate product revenue primarily from (A) aggregate proceeds received from the sale of vehicles to dealers that were acquired directly from customers, or CarGurus Instant Max Cash Offer, or IMCO transactions, and (B) proceeds received from the sale of vehicles that were acquired through arbitration.</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months ended September 30, 2023, we generated revenue of $219.4 million, a 49% decrease from $426.5 million of revenue for the three months ended September 30, 2022. For the three months ended September 30, 2023, we generated consolidated net income of $19.0 million and Consolidated Adjusted EBITDA of $48.6 million, compared to consolidated net income of $18.8 million and Consolidated Adjusted EBITDA of $32.9 million for the three months ended September 30, 2022.</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nine months ended September 30, 2023, we generated revenue of $691.1 million, a 49% decrease from $1,368.3 million of revenue for the nine months ended September 30, 2022. For the nine months ended September 30, 2023, we generated consolidated net income of $44.7 million and Consolidated Adjusted EBITDA of $134.6 million, compared to consolidated net income of $55.7 million and Consolidated Adjusted EBITDA of $159.8 million for the nine months ended September 30, 2022.</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See “Consolidated Adjusted EBITDA, Adjusted EBITDA, and Adjusted EBITDA attributable to redeemable noncontrolling interest” below for more information regarding our use of Adjusted EBITDA, a non-GAAP financial measure, and a reconciliation of Adjusted EBITDA to our consolidated net income.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val="false"/>
          <w:i/>
          <w:color w:val="000000"/>
          <w:sz w:val="20"/>
        </w:rPr>
        <w:t>CarOffer Purchase Agreement</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On November 6, 2023, we entered into a Membership Interest Purchase Agreement, or Purchase Agreement, by and among us, CarOffer, CarOffer Investors Holding, LLC, a Delaware limited liability company, CarOffer Midco, LLC, a Delaware limited liability company, each of the persons set forth on Schedule 1.1(a) to the Purchase Agreement, which we refer to as the Indirect Members, Bruce T. Thompson, an individual residing in Texas, as the sellers’ representative, and the responsible party signatory thereto, pursuant to which we agreed to acquire the remaining interest in CarOffer that we do not presently own, which we refer to as the CarOffer Transaction.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Upon consummation of the CarOffer Transaction, or the Closing, we will acquire the remaining interest in CarOffer that we do not presently own for an aggregate consideration of $75.0 million in cash, or the Consideration, subject to certain adjustments set forth in the Purchase Agreement.</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Purchase Agreement contains customary representations, warranties, and covenants by us and CarOffer. A portion of the Consideration will be held in escrow to secure certain payment and indemnification obligations of the Indirect Members in accordance with the terms of the Purchase Agreement.</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Closing is subject to customary closing conditions and is expected to occur in the fourth quarter of 2023. We may terminate the Purchase Agreement if the Closing has not occurred on or before December 31, 2023, subject to the terms of the Purchase Agreement.</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Following the Closing, we will enter into the Fourth Amended and Restated Limited Liability Company Agreement, or the CarOffer Operating Agreement, pursuant to which, among other matters, the existing put and call rights will terminate and the CarOffer Operating Agreement will reflect that CarOffer is our wholly-owned subsidiary.</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Key Business Metrics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geographic regions. The International region derives revenue from marketplace revenue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Monthly Unique Users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each of our websites (excluding the CarOffer website),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pStyle w:val="TextBody"/>
        <w:bidi w:val="0"/>
        <w:jc w:val="both"/>
        <w:rPr/>
      </w:pPr>
      <w:r>
        <w:rPr/>
        <w:t> </w:t>
      </w:r>
    </w:p>
    <w:tbl>
      <w:tblPr>
        <w:tblW w:w="6967" w:type="dxa"/>
        <w:jc w:val="left"/>
        <w:tblInd w:w="0" w:type="dxa"/>
        <w:tblLayout w:type="fixed"/>
        <w:tblCellMar>
          <w:top w:w="28" w:type="dxa"/>
          <w:left w:w="28" w:type="dxa"/>
          <w:bottom w:w="28" w:type="dxa"/>
          <w:right w:w="28" w:type="dxa"/>
        </w:tblCellMar>
      </w:tblPr>
      <w:tblGrid>
        <w:gridCol w:w="2266"/>
        <w:gridCol w:w="146"/>
        <w:gridCol w:w="146"/>
        <w:gridCol w:w="676"/>
        <w:gridCol w:w="146"/>
        <w:gridCol w:w="146"/>
        <w:gridCol w:w="146"/>
        <w:gridCol w:w="676"/>
        <w:gridCol w:w="146"/>
        <w:gridCol w:w="146"/>
        <w:gridCol w:w="146"/>
        <w:gridCol w:w="676"/>
        <w:gridCol w:w="146"/>
        <w:gridCol w:w="146"/>
        <w:gridCol w:w="146"/>
        <w:gridCol w:w="676"/>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Average Monthly Unique Users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31,663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29,377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31,852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29,985</w:t>
            </w:r>
          </w:p>
        </w:tc>
        <w:tc>
          <w:tcPr>
            <w:tcW w:w="3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6,731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39,030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36,716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b/>
          <w:i/>
          <w:color w:val="000000"/>
          <w:sz w:val="20"/>
        </w:rPr>
        <w:t>Monthly Sessions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define monthly sessions as the number of distinct visits to our websites (excluding the CarOffer website)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and (iii) Greenwich Mean Time for our United Kingdom websites.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pStyle w:val="TextBody"/>
        <w:bidi w:val="0"/>
        <w:jc w:val="both"/>
        <w:rPr/>
      </w:pPr>
      <w:r>
        <w:rPr/>
        <w:t> </w:t>
      </w:r>
    </w:p>
    <w:tbl>
      <w:tblPr>
        <w:tblW w:w="7802" w:type="dxa"/>
        <w:jc w:val="left"/>
        <w:tblInd w:w="0" w:type="dxa"/>
        <w:tblLayout w:type="fixed"/>
        <w:tblCellMar>
          <w:top w:w="28" w:type="dxa"/>
          <w:left w:w="28" w:type="dxa"/>
          <w:bottom w:w="28" w:type="dxa"/>
          <w:right w:w="28" w:type="dxa"/>
        </w:tblCellMar>
      </w:tblPr>
      <w:tblGrid>
        <w:gridCol w:w="1921"/>
        <w:gridCol w:w="146"/>
        <w:gridCol w:w="193"/>
        <w:gridCol w:w="895"/>
        <w:gridCol w:w="193"/>
        <w:gridCol w:w="193"/>
        <w:gridCol w:w="193"/>
        <w:gridCol w:w="895"/>
        <w:gridCol w:w="146"/>
        <w:gridCol w:w="146"/>
        <w:gridCol w:w="178"/>
        <w:gridCol w:w="953"/>
        <w:gridCol w:w="178"/>
        <w:gridCol w:w="178"/>
        <w:gridCol w:w="178"/>
        <w:gridCol w:w="825"/>
        <w:gridCol w:w="3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Average Monthly Sessions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2"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90"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192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United States</w:t>
            </w:r>
          </w:p>
        </w:tc>
        <w:tc>
          <w:tcPr>
            <w:tcW w:w="146"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83,928</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75,871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84,186</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80,288</w:t>
            </w:r>
          </w:p>
        </w:tc>
        <w:tc>
          <w:tcPr>
            <w:tcW w:w="391" w:type="dxa"/>
            <w:tcBorders/>
            <w:shd w:fill="CFF0FC" w:val="cle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International</w:t>
            </w:r>
          </w:p>
        </w:tc>
        <w:tc>
          <w:tcPr>
            <w:tcW w:w="146" w:type="dxa"/>
            <w:tcBorders/>
            <w:shd w:fill="FFFFFF" w:val="cle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16,013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16,607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15,293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99,941</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righ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91,030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100,793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righ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95,581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Transactions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define Transactions within the Digital Wholesale segment as the number of vehicles processed from car dealers, consumers, and other marketplaces through the CarOffer website within the applicable period. Transactions consists of each unique vehicle (based on vehicle identification number) that reaches "sold and invoiced" status on the CarOffer website within the applicable period, including vehicles sold to car dealers, vehicles sold at third-party auctions, vehicles ultimately sold to a different buyer, and vehicles that are returned to their owners without completion of a sale transaction. We exclude vehicles processed within CarOffer's intra-group trading solution (Group Trade) from the definition of Transactions, and we only count any unique vehicle once even if it reaches sold status multiple times. Digital Wholesale includes Dealer-to-Dealer transactions and IMCO transactions. We view Transactions as a key business metric, and we believe it provides useful information to investors, because it provides insight into growth and revenue for the Digital Wholesale segment. Transactions drive a significant portion of Digital Wholesale segment revenue. We believe growth in Transactions demonstrates consumer and dealer utilization and our market share penetration in the Digital Wholesale segment.</w:t>
      </w:r>
    </w:p>
    <w:p>
      <w:pPr>
        <w:pStyle w:val="TextBody"/>
        <w:bidi w:val="0"/>
        <w:ind w:left="0" w:right="0" w:firstLine="490"/>
        <w:jc w:val="both"/>
        <w:rPr/>
      </w:pPr>
      <w:r>
        <w:rPr/>
        <w:t> </w:t>
      </w:r>
    </w:p>
    <w:tbl>
      <w:tblPr>
        <w:tblW w:w="6879" w:type="dxa"/>
        <w:jc w:val="left"/>
        <w:tblInd w:w="0" w:type="dxa"/>
        <w:tblLayout w:type="fixed"/>
        <w:tblCellMar>
          <w:top w:w="28" w:type="dxa"/>
          <w:left w:w="28" w:type="dxa"/>
          <w:bottom w:w="28" w:type="dxa"/>
          <w:right w:w="28" w:type="dxa"/>
        </w:tblCellMar>
      </w:tblPr>
      <w:tblGrid>
        <w:gridCol w:w="1111"/>
        <w:gridCol w:w="146"/>
        <w:gridCol w:w="196"/>
        <w:gridCol w:w="911"/>
        <w:gridCol w:w="196"/>
        <w:gridCol w:w="196"/>
        <w:gridCol w:w="196"/>
        <w:gridCol w:w="911"/>
        <w:gridCol w:w="146"/>
        <w:gridCol w:w="146"/>
        <w:gridCol w:w="181"/>
        <w:gridCol w:w="839"/>
        <w:gridCol w:w="181"/>
        <w:gridCol w:w="181"/>
        <w:gridCol w:w="181"/>
        <w:gridCol w:w="970"/>
        <w:gridCol w:w="19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Transactions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13,562</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39,437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51,860</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172,189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b/>
          <w:i/>
          <w:color w:val="000000"/>
          <w:sz w:val="20"/>
        </w:rPr>
        <w:t>Number of Paying Dealers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pStyle w:val="TextBody"/>
        <w:bidi w:val="0"/>
        <w:jc w:val="both"/>
        <w:rPr/>
      </w:pPr>
      <w:r>
        <w:rPr/>
        <w:t> </w:t>
      </w:r>
    </w:p>
    <w:tbl>
      <w:tblPr>
        <w:tblW w:w="4364" w:type="dxa"/>
        <w:jc w:val="left"/>
        <w:tblInd w:w="0" w:type="dxa"/>
        <w:tblLayout w:type="fixed"/>
        <w:tblCellMar>
          <w:top w:w="28" w:type="dxa"/>
          <w:left w:w="28" w:type="dxa"/>
          <w:bottom w:w="28" w:type="dxa"/>
          <w:right w:w="28" w:type="dxa"/>
        </w:tblCellMar>
      </w:tblPr>
      <w:tblGrid>
        <w:gridCol w:w="1891"/>
        <w:gridCol w:w="146"/>
        <w:gridCol w:w="146"/>
        <w:gridCol w:w="676"/>
        <w:gridCol w:w="146"/>
        <w:gridCol w:w="146"/>
        <w:gridCol w:w="146"/>
        <w:gridCol w:w="676"/>
        <w:gridCol w:w="3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Number of Paying Dealers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8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24,691</w:t>
            </w:r>
          </w:p>
        </w:tc>
        <w:tc>
          <w:tcPr>
            <w:tcW w:w="391" w:type="dxa"/>
            <w:tcBorders/>
            <w:shd w:fill="CFF0FC"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6,823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6,595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31,191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31,286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b/>
          <w:i/>
          <w:color w:val="000000"/>
          <w:sz w:val="20"/>
        </w:rPr>
        <w:t>Quarterly Average Revenue per Subscribing Dealer (QARSD)</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define QARSD, which is measured at the end of a fiscal quarter, as the marketplace revenue primarily from subscriptions to our Listings packages and RPM digital advertising suite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spacing w:before="240" w:after="283"/>
        <w:ind w:left="0" w:right="0" w:firstLine="490"/>
        <w:jc w:val="both"/>
        <w:rPr/>
      </w:pPr>
      <w:r>
        <w:rPr/>
        <w:t> </w:t>
      </w:r>
    </w:p>
    <w:tbl>
      <w:tblPr>
        <w:tblW w:w="6439" w:type="dxa"/>
        <w:jc w:val="left"/>
        <w:tblInd w:w="0" w:type="dxa"/>
        <w:tblLayout w:type="fixed"/>
        <w:tblCellMar>
          <w:top w:w="28" w:type="dxa"/>
          <w:left w:w="28" w:type="dxa"/>
          <w:bottom w:w="28" w:type="dxa"/>
          <w:right w:w="28" w:type="dxa"/>
        </w:tblCellMar>
      </w:tblPr>
      <w:tblGrid>
        <w:gridCol w:w="4246"/>
        <w:gridCol w:w="146"/>
        <w:gridCol w:w="211"/>
        <w:gridCol w:w="571"/>
        <w:gridCol w:w="146"/>
        <w:gridCol w:w="146"/>
        <w:gridCol w:w="211"/>
        <w:gridCol w:w="571"/>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Quarterly Average Revenue per Subscribing Dealer (QARSD)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5,800</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1,507</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Consolidated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4,889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Consolidated Adjusted EBITDA, Adjusted EBITDA, and Adjusted EBITDA attributable to redeemable noncontrolling interest</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To provide investors with additional information regarding our financial results, we have presented within this Quarterly Report, Consolidated Adjusted EBITDA, Adjusted EBITDA, and Adjusted EBITDA attributable to redeemable noncontrolling interest, each of which is a non</w:t>
        <w:noBreakHyphen/>
        <w:t>GAAP financial measure. These non</w:t>
        <w:noBreakHyphen/>
        <w:t>GAAP financial measures are not based on any standardized methodology prescribed by GAAP, and are not necessarily comparable to any similarly titled measures presented by other companies.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define Consolidated Adjusted EBITDA as consolidated net income, adjusted to exclude: depreciation and amortization, impairment of long-lived assets, stock</w:t>
        <w:noBreakHyphen/>
        <w:t>based compensation expense, other (income) expense, net, and provision for income taxes.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define Adjusted EBITDA as Consolidated Adjusted EBITDA adjusted to exclude Adjusted EBITDA attributable to redeemable noncontrolling interest.</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define Adjusted EBITDA attributable to redeemable noncontrolling interest as net loss attributable to redeemable noncontrolling interest, adjusted to exclude: depreciation and amortization, impairment of long-lived assets, stock</w:t>
        <w:noBreakHyphen/>
        <w:t>based compensation expense, other expense, net, and provision for income taxes. These exclusions are adjusted for redeemable noncontrolling interest of 38% by taking the noncontrolling interest's full financial results and multiplying each line item in the reconciliation by 38%. We note that we use 38%, versus 49%, to allocate the share of income (loss) because it represents the portion attributable to the redeemable noncontrolling interest. The 38% is exclusive of CO Incentive Units, Subject Units, and 2021 Incentive Units (as each term is defined in Note 2 to our consolidated financial statements contained within our Annual Report) liability classified awards which do not participate in the share of income (loss).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have presented Consolidated Adjusted EBITDA and Adjusted EBITDA within this Quarterly Report because they are key measures used by our management and Board of Directors to understand and evaluate our operating performance, generate future operating plans, and make strategic decisions regarding the allocation of capital. In particular, we believe that the exclusion of certain items in calculating Consolidated Adjusted EBITDA and Adjusted EBITDA can produce a useful measure for period</w:t>
        <w:noBreakHyphen/>
        <w:t>to</w:t>
        <w:noBreakHyphen/>
        <w:t>period comparisons of our business. We have presented Adjusted EBITDA attributable to redeemable noncontrolling interest because it is used by our management to reconcile Consolidated Adjusted EBITDA to Adjusted EBITDA. It represents the portion of Consolidated Adjusted EBITDA that is attributable to our redeemable noncontrolling interest. Adjusted EBITDA attributable to redeemable noncontrolling interest is not intended to be reviewed on its own.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use Consolidated Adjusted EBITDA and Adjusted EBITDA to evaluate our operating performance and trends and make planning decisions. We believe Consolidated Adjusted EBITDA and Adjusted EBITDA help identify underlying trends in our business that could otherwise be masked by the effect of the expenses that we exclude. Accordingly, we believe that Consolidated Adjusted EBITDA and Adjusted EBITDA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noBreakHyphen/>
        <w:t>making. We use Adjusted EBITDA attributable to redeemable noncontrolling interest to reconcile Consolidated Adjusted EBITDA to Adjusted EBITDA. It enables an investor to gain a clearer understanding of the portion of Consolidated Adjusted EBITDA that is attributable to our redeemable noncontrolling interest.</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Our Consolidated Adjusted EBITDA, Adjusted EBITDA, and Adjusted EBITDA attributable to redeemable noncontrolling interest are not prepared in accordance with GAAP, and should not be considered in isolation of, or as an alternative to, measures prepared in accordance with GAAP. There are a number of limitations related to the use of Consolidated Adjusted EBITDA, Adjusted EBITDA, and Adjusted EBITDA attributable to redeemable noncontrolling interest rather than consolidated net income and net loss attributable to redeemable noncontrolling interest, respectively, which are the most directly comparable GAAP equivalents. Some of these limitations are:</w:t>
      </w:r>
    </w:p>
    <w:p>
      <w:pPr>
        <w:pStyle w:val="TextBody"/>
        <w:bidi w:val="0"/>
        <w:spacing w:before="240" w:after="283"/>
        <w:ind w:left="490"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Consolidated Adjusted EBITDA, Adjusted EBITDA, and Adjusted EBITDA attributable to redeemable noncontrolling interest exclude depreciation and amortization expense and, although these are non</w:t>
        <w:noBreakHyphen/>
        <w:t>cash expenses, the assets being depreciated may have to be replaced in the future;</w:t>
      </w:r>
    </w:p>
    <w:p>
      <w:pPr>
        <w:pStyle w:val="TextBody"/>
        <w:bidi w:val="0"/>
        <w:spacing w:before="240" w:after="283"/>
        <w:ind w:left="490"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Consolidated Adjusted EBITDA, Adjusted EBITDA, and Adjusted EBITDA attributable to redeemable noncontrolling interest exclude impairment of long-lived assets and, although these are non-cash adjustments, the assets being impaired may have to be replaced in the future;</w:t>
      </w:r>
    </w:p>
    <w:p>
      <w:pPr>
        <w:pStyle w:val="TextBody"/>
        <w:bidi w:val="0"/>
        <w:spacing w:before="240" w:after="283"/>
        <w:ind w:left="490"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Consolidated Adjusted EBITDA, Adjusted EBITDA, and Adjusted EBITDA attributable to redeemable noncontrolling interest exclude stock</w:t>
        <w:noBreakHyphen/>
        <w:t>based compensation expense, which will be, for the foreseeable future, a significant recurring expense for our business and an important part of our compensation strategy;</w:t>
      </w:r>
    </w:p>
    <w:p>
      <w:pPr>
        <w:pStyle w:val="TextBody"/>
        <w:bidi w:val="0"/>
        <w:spacing w:before="240" w:after="283"/>
        <w:ind w:left="490"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Consolidated Adjusted EBITDA, Adjusted EBITDA, and Adjusted EBITDA attributable to redeemable noncontrolling interest exclude other (income) expense, net, which consists primarily of interest income earned on our cash and cash equivalents, foreign exchange gains and losses and interest expense;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490"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 xml:space="preserve">Consolidated Adjusted EBITDA, Adjusted EBITDA, and Adjusted EBITDA attributable to redeemable noncontrolling interest exclude the provision for income taxes; </w:t>
      </w:r>
    </w:p>
    <w:p>
      <w:pPr>
        <w:pStyle w:val="TextBody"/>
        <w:bidi w:val="0"/>
        <w:spacing w:before="240" w:after="283"/>
        <w:ind w:left="490"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Adjusted EBITDA excludes Adjusted EBITDA attributable to redeemable noncontrolling interest, which is calculated as the net loss attributable to redeemable noncontrolling interest, adjusted for all exclusions used to calculate Consolidated Adjusted EBITDA as described above; and</w:t>
      </w:r>
    </w:p>
    <w:p>
      <w:pPr>
        <w:pStyle w:val="TextBody"/>
        <w:bidi w:val="0"/>
        <w:spacing w:before="240" w:after="283"/>
        <w:ind w:left="490"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other companies, including companies in our industry, may calculate Consolidated Adjusted EBITDA, Adjusted EBITDA, and Adjusted EBITDA attributable to redeemable noncontrolling interest differently, which reduces their usefulness as a comparative measure.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Because of these limitations, we consider, and you should consider, Consolidated Adjusted EBITDA, Adjusted EBITDA, and Adjusted EBITDA attributable to redeemable noncontrolling interest together with other operating and financial performance measures presented in accordance with GAAP.</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three months ended September 30, 2023 and 2022 and for the nine months ended September 30, 2023 and 2022, the following table presents a reconciliation of Consolidated Adjusted EBITDA and Adjusted EBITDA to consolidated net income, the most directly comparable measure calculated in accordance with GAAP, for each of the periods presented.</w:t>
      </w:r>
    </w:p>
    <w:p>
      <w:pPr>
        <w:pStyle w:val="TextBody"/>
        <w:bidi w:val="0"/>
        <w:ind w:left="0" w:right="0" w:firstLine="490"/>
        <w:jc w:val="both"/>
        <w:rPr/>
      </w:pPr>
      <w:r>
        <w:rPr/>
        <w:t> </w:t>
      </w:r>
    </w:p>
    <w:tbl>
      <w:tblPr>
        <w:tblW w:w="10205" w:type="dxa"/>
        <w:jc w:val="left"/>
        <w:tblInd w:w="0" w:type="dxa"/>
        <w:tblLayout w:type="fixed"/>
        <w:tblCellMar>
          <w:top w:w="28" w:type="dxa"/>
          <w:left w:w="28" w:type="dxa"/>
          <w:bottom w:w="28" w:type="dxa"/>
          <w:right w:w="28" w:type="dxa"/>
        </w:tblCellMar>
      </w:tblPr>
      <w:tblGrid>
        <w:gridCol w:w="5174"/>
        <w:gridCol w:w="146"/>
        <w:gridCol w:w="211"/>
        <w:gridCol w:w="676"/>
        <w:gridCol w:w="166"/>
        <w:gridCol w:w="146"/>
        <w:gridCol w:w="211"/>
        <w:gridCol w:w="676"/>
        <w:gridCol w:w="166"/>
        <w:gridCol w:w="146"/>
        <w:gridCol w:w="211"/>
        <w:gridCol w:w="781"/>
        <w:gridCol w:w="166"/>
        <w:gridCol w:w="146"/>
        <w:gridCol w:w="211"/>
        <w:gridCol w:w="781"/>
        <w:gridCol w:w="191"/>
      </w:tblGrid>
      <w:tr>
        <w:trPr/>
        <w:tc>
          <w:tcPr>
            <w:tcW w:w="5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2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174"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Reconciliation of Consolidated Adjusted EBITDA and Adjusted EBITDA:</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17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Consolidated 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44,656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55,723</w:t>
            </w:r>
          </w:p>
        </w:tc>
        <w:tc>
          <w:tcPr>
            <w:tcW w:w="191" w:type="dxa"/>
            <w:tcBorders/>
            <w:shd w:fill="FFFFFF" w:val="clear"/>
            <w:vAlign w:val="center"/>
          </w:tcPr>
          <w:p>
            <w:pPr>
              <w:pStyle w:val="TableContents"/>
              <w:bidi w:val="0"/>
              <w:spacing w:before="0" w:after="283"/>
              <w:jc w:val="left"/>
              <w:rPr/>
            </w:pPr>
            <w:r>
              <w:rPr/>
              <w:t> </w:t>
            </w:r>
          </w:p>
        </w:tc>
      </w:tr>
      <w:tr>
        <w:trPr/>
        <w:tc>
          <w:tcPr>
            <w:tcW w:w="517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12,470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35,713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33,602</w:t>
            </w:r>
          </w:p>
        </w:tc>
        <w:tc>
          <w:tcPr>
            <w:tcW w:w="191" w:type="dxa"/>
            <w:tcBorders/>
            <w:shd w:fill="CFF0FC" w:val="clear"/>
            <w:vAlign w:val="center"/>
          </w:tcPr>
          <w:p>
            <w:pPr>
              <w:pStyle w:val="TableContents"/>
              <w:bidi w:val="0"/>
              <w:spacing w:before="0" w:after="283"/>
              <w:jc w:val="left"/>
              <w:rPr/>
            </w:pPr>
            <w:r>
              <w:rPr/>
              <w:t> </w:t>
            </w:r>
          </w:p>
        </w:tc>
      </w:tr>
      <w:tr>
        <w:trPr/>
        <w:tc>
          <w:tcPr>
            <w:tcW w:w="517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17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13,038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(6,946</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43,842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47,353</w:t>
            </w:r>
          </w:p>
        </w:tc>
        <w:tc>
          <w:tcPr>
            <w:tcW w:w="191" w:type="dxa"/>
            <w:tcBorders/>
            <w:shd w:fill="CFF0FC" w:val="clear"/>
            <w:vAlign w:val="center"/>
          </w:tcPr>
          <w:p>
            <w:pPr>
              <w:pStyle w:val="TableContents"/>
              <w:bidi w:val="0"/>
              <w:spacing w:before="0" w:after="283"/>
              <w:jc w:val="left"/>
              <w:rPr/>
            </w:pPr>
            <w:r>
              <w:rPr/>
              <w:t> </w:t>
            </w:r>
          </w:p>
        </w:tc>
      </w:tr>
      <w:tr>
        <w:trPr/>
        <w:tc>
          <w:tcPr>
            <w:tcW w:w="517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(4,167</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(200</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(13,185</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191" w:type="dxa"/>
            <w:tcBorders/>
            <w:shd w:fill="FFFFFF" w:val="clear"/>
            <w:vAlign w:val="center"/>
          </w:tcPr>
          <w:p>
            <w:pPr>
              <w:pStyle w:val="TableContents"/>
              <w:bidi w:val="0"/>
              <w:spacing w:before="0" w:after="283"/>
              <w:jc w:val="left"/>
              <w:rPr/>
            </w:pPr>
            <w:r>
              <w:rPr/>
              <w:t> </w:t>
            </w:r>
          </w:p>
        </w:tc>
      </w:tr>
      <w:tr>
        <w:trPr/>
        <w:tc>
          <w:tcPr>
            <w:tcW w:w="517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23,059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Consolidated Adjusted EBITDA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48,603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32,893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134,631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159,812</w:t>
            </w:r>
          </w:p>
        </w:tc>
        <w:tc>
          <w:tcPr>
            <w:tcW w:w="191" w:type="dxa"/>
            <w:tcBorders/>
            <w:shd w:fill="FFFFFF" w:val="clear"/>
            <w:vAlign w:val="center"/>
          </w:tcPr>
          <w:p>
            <w:pPr>
              <w:pStyle w:val="TableContents"/>
              <w:bidi w:val="0"/>
              <w:spacing w:before="0" w:after="283"/>
              <w:jc w:val="left"/>
              <w:rPr/>
            </w:pPr>
            <w:r>
              <w:rPr/>
              <w:t> </w:t>
            </w:r>
          </w:p>
        </w:tc>
      </w:tr>
      <w:tr>
        <w:trPr/>
        <w:tc>
          <w:tcPr>
            <w:tcW w:w="517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Adjusted EBITDA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9,053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49,130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134,245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150,759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three months ended September 30, 2023 and 2022 and for the nine months ended September 30, 2023 and 2022, the following table presents a reconciliation of Adjusted EBITDA attributable to redeemable noncontrolling interest to net loss attributable to redeemable noncontrolling interest, the most directly comparable measure calculated in accordance with GAAP, for each of the periods presented.</w:t>
      </w:r>
    </w:p>
    <w:p>
      <w:pPr>
        <w:pStyle w:val="TextBody"/>
        <w:bidi w:val="0"/>
        <w:ind w:left="0" w:right="0" w:firstLine="490"/>
        <w:jc w:val="both"/>
        <w:rPr/>
      </w:pPr>
      <w:r>
        <w:rPr/>
        <w:t> </w:t>
      </w:r>
    </w:p>
    <w:tbl>
      <w:tblPr>
        <w:tblW w:w="10205" w:type="dxa"/>
        <w:jc w:val="left"/>
        <w:tblInd w:w="0" w:type="dxa"/>
        <w:tblLayout w:type="fixed"/>
        <w:tblCellMar>
          <w:top w:w="28" w:type="dxa"/>
          <w:left w:w="28" w:type="dxa"/>
          <w:bottom w:w="28" w:type="dxa"/>
          <w:right w:w="28" w:type="dxa"/>
        </w:tblCellMar>
      </w:tblPr>
      <w:tblGrid>
        <w:gridCol w:w="5439"/>
        <w:gridCol w:w="146"/>
        <w:gridCol w:w="211"/>
        <w:gridCol w:w="631"/>
        <w:gridCol w:w="166"/>
        <w:gridCol w:w="146"/>
        <w:gridCol w:w="211"/>
        <w:gridCol w:w="631"/>
        <w:gridCol w:w="166"/>
        <w:gridCol w:w="146"/>
        <w:gridCol w:w="211"/>
        <w:gridCol w:w="736"/>
        <w:gridCol w:w="166"/>
        <w:gridCol w:w="146"/>
        <w:gridCol w:w="211"/>
        <w:gridCol w:w="631"/>
        <w:gridCol w:w="211"/>
      </w:tblGrid>
      <w:tr>
        <w:trPr/>
        <w:tc>
          <w:tcPr>
            <w:tcW w:w="5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01"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439"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Reconciliation of Adjusted EBITDA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439"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loss attributable to redeemable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(3,329</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(1,576</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(10,191</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(3,871</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5439"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b w:val="false"/>
                <w:color w:val="000000"/>
                <w:sz w:val="20"/>
              </w:rPr>
              <w:t xml:space="preserve">Depreciation and amortization </w:t>
            </w:r>
            <w:r>
              <w:rPr>
                <w:rFonts w:ascii="Calibri;sans-serif" w:hAnsi="Calibri;sans-serif"/>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2,975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2,938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8,874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8,765</w:t>
            </w:r>
          </w:p>
        </w:tc>
        <w:tc>
          <w:tcPr>
            <w:tcW w:w="211" w:type="dxa"/>
            <w:tcBorders/>
            <w:shd w:fill="CFF0FC" w:val="clear"/>
            <w:vAlign w:val="center"/>
          </w:tcPr>
          <w:p>
            <w:pPr>
              <w:pStyle w:val="TableContents"/>
              <w:bidi w:val="0"/>
              <w:spacing w:before="0" w:after="283"/>
              <w:jc w:val="left"/>
              <w:rPr/>
            </w:pPr>
            <w:r>
              <w:rPr/>
              <w:t> </w:t>
            </w:r>
          </w:p>
        </w:tc>
      </w:tr>
      <w:tr>
        <w:trPr/>
        <w:tc>
          <w:tcPr>
            <w:tcW w:w="5439"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b w:val="false"/>
                <w:color w:val="000000"/>
                <w:sz w:val="20"/>
              </w:rPr>
              <w:t>Impairment of long-lived assets</w:t>
            </w:r>
            <w:r>
              <w:rPr>
                <w:rFonts w:ascii="Times New Roman" w:hAnsi="Times New Roman"/>
                <w:color w:val="000000"/>
                <w:sz w:val="20"/>
              </w:rPr>
              <w:t> </w:t>
            </w:r>
            <w:r>
              <w:rPr>
                <w:rFonts w:ascii="Calibri;sans-serif" w:hAnsi="Calibri;sans-serif"/>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5439"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b w:val="false"/>
                <w:color w:val="000000"/>
                <w:sz w:val="20"/>
              </w:rPr>
              <w:t xml:space="preserve">Stock-based compensation expense </w:t>
            </w:r>
            <w:r>
              <w:rPr>
                <w:rFonts w:ascii="Calibri;sans-serif" w:hAnsi="Calibri;sans-serif"/>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(257</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(7,767</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2,731</w:t>
            </w:r>
          </w:p>
        </w:tc>
        <w:tc>
          <w:tcPr>
            <w:tcW w:w="211" w:type="dxa"/>
            <w:tcBorders/>
            <w:shd w:fill="CFF0FC" w:val="clear"/>
            <w:vAlign w:val="center"/>
          </w:tcPr>
          <w:p>
            <w:pPr>
              <w:pStyle w:val="TableContents"/>
              <w:bidi w:val="0"/>
              <w:spacing w:before="0" w:after="283"/>
              <w:jc w:val="left"/>
              <w:rPr/>
            </w:pPr>
            <w:r>
              <w:rPr/>
              <w:t> </w:t>
            </w:r>
          </w:p>
        </w:tc>
      </w:tr>
      <w:tr>
        <w:trPr/>
        <w:tc>
          <w:tcPr>
            <w:tcW w:w="5439"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b w:val="false"/>
                <w:color w:val="000000"/>
                <w:sz w:val="20"/>
              </w:rPr>
              <w:t>Other expense, net</w:t>
            </w:r>
            <w:r>
              <w:rPr>
                <w:rFonts w:ascii="Times New Roman" w:hAnsi="Times New Roman"/>
                <w:color w:val="000000"/>
                <w:sz w:val="20"/>
              </w:rPr>
              <w:t> </w:t>
            </w:r>
            <w:r>
              <w:rPr>
                <w:rFonts w:ascii="Calibri;sans-serif" w:hAnsi="Calibri;sans-serif"/>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1,351</w:t>
            </w:r>
          </w:p>
        </w:tc>
        <w:tc>
          <w:tcPr>
            <w:tcW w:w="211" w:type="dxa"/>
            <w:tcBorders/>
            <w:shd w:fill="FFFFFF" w:val="clear"/>
            <w:vAlign w:val="center"/>
          </w:tcPr>
          <w:p>
            <w:pPr>
              <w:pStyle w:val="TableContents"/>
              <w:bidi w:val="0"/>
              <w:spacing w:before="0" w:after="283"/>
              <w:jc w:val="left"/>
              <w:rPr/>
            </w:pPr>
            <w:r>
              <w:rPr/>
              <w:t> </w:t>
            </w:r>
          </w:p>
        </w:tc>
      </w:tr>
      <w:tr>
        <w:trPr/>
        <w:tc>
          <w:tcPr>
            <w:tcW w:w="5439"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b w:val="false"/>
                <w:color w:val="000000"/>
                <w:sz w:val="20"/>
              </w:rPr>
              <w:t xml:space="preserve">Provision for income taxes </w:t>
            </w:r>
            <w:r>
              <w:rPr>
                <w:rFonts w:ascii="Calibri;sans-serif" w:hAnsi="Calibri;sans-serif"/>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9"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Adjusted EBITDA attributable to redeemable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9,053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489" w:right="0" w:hanging="0"/>
        <w:jc w:val="both"/>
        <w:rPr>
          <w:rFonts w:ascii="Calibri" w:hAnsi="Calibri"/>
          <w:b w:val="false"/>
          <w:color w:val="000000"/>
          <w:sz w:val="20"/>
        </w:rPr>
      </w:pPr>
      <w:r>
        <w:rPr>
          <w:rFonts w:ascii="Calibri" w:hAnsi="Calibri"/>
          <w:b w:val="false"/>
          <w:color w:val="000000"/>
          <w:sz w:val="20"/>
        </w:rPr>
        <w:t>(1)</w:t>
      </w:r>
    </w:p>
    <w:p>
      <w:pPr>
        <w:pStyle w:val="TextBody"/>
        <w:bidi w:val="0"/>
        <w:spacing w:before="120" w:after="283"/>
        <w:jc w:val="both"/>
        <w:rPr>
          <w:rFonts w:ascii="Calibri;sans-serif" w:hAnsi="Calibri;sans-serif"/>
          <w:b w:val="false"/>
          <w:color w:val="000000"/>
          <w:sz w:val="13"/>
        </w:rPr>
      </w:pPr>
      <w:r>
        <w:rPr>
          <w:rFonts w:ascii="Calibri;sans-serif" w:hAnsi="Calibri;sans-serif"/>
          <w:b w:val="false"/>
          <w:color w:val="000000"/>
          <w:sz w:val="13"/>
        </w:rPr>
        <w:t>These exclusions are adjusted to reflect the noncontrolling interest of 38%.</w:t>
      </w:r>
    </w:p>
    <w:p>
      <w:pPr>
        <w:pStyle w:val="TextBody"/>
        <w:bidi w:val="0"/>
        <w:spacing w:before="240" w:after="283"/>
        <w:jc w:val="both"/>
        <w:rPr>
          <w:rFonts w:ascii="Times New Roman" w:hAnsi="Times New Roman"/>
          <w:sz w:val="20"/>
        </w:rPr>
      </w:pPr>
      <w:r>
        <w:rPr>
          <w:rFonts w:ascii="Calibri;sans-serif" w:hAnsi="Calibri;sans-serif"/>
          <w:b/>
          <w:color w:val="000000"/>
          <w:sz w:val="20"/>
        </w:rPr>
        <w:t>Components of Unaudited Condensed Consolidated Income Statements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Revenue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RPM digital advertising suite, and Digital Retail, (ii) advertising revenue from auto manufacturers and other auto</w:t>
        <w:noBreakHyphen/>
        <w:t>related brand advertisers, and (iii) revenue from partnerships with financing services companies. We generate wholesale revenue primarily from (x) transaction fees earned from Dealer-to-Dealer transactions, (y) transaction fees earned from sale of vehicles to dealers that we acquire at other marketplaces, and (z) transaction fees earned from performing inspection and transportation services, inclusive of Dealer-to-Dealer transactions, other marketplace-to-dealer transactions, and IMCO transactions. We generate product revenue primarily from (A) aggregate proceeds received from the sale of vehicles that were acquired through IMCO transactions, and (B) proceeds received from the sale of vehicles that were acquired through arbitration.</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Marketplace Revenue</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tool, and user review management platform. Only dealers subscribing to a paid Listings package have access to the Pricing Tool, Market Analysis tool, and IMV Scan tool. For details on the Dealer Dashboard and these merchandising tools, refer to “Our Products and Services – U.S. Marketplace and Other – Dealer Offerings – Dealer Dashboard and Merchandising Tools” in Part I, Item 1 within our Annual Report.</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We also offer paid Listings packages for the Autolist and PistonHeads websites.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In addition to displaying inventory in our marketplace and providing access to the Dealer Dashboard, we offer dealers subscribing to certain of our Listings packages other subscription advertising and customer acquisition products and enhancements marketed under our RPM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also offer dealer advertising products for the PistonHeads website.</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We also offer dealers subscribing to certain of our Listings packages other subscription advertising and customer acquisition products and enhancements such as Digital Retail, which allows shoppers to complete much of the vehicle-purchase process online through the Dealers’ Listings page. Digital Retail is comprised of (i) the Digital Deal Platform, which gives dealers higher quality leads through upfront consumer-provided information, (ii) Area Boost/Geo Expansion, which expands the visibility of a dealer’s inventory in the search results beyond its local market, and (iii) Hard Pull Financing, which provides loan information.</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Marketplace revenue also consists of non-dealer advertising revenue from auto manufacturers and other auto-related brand advertisers sold on a cost-per-thousand impressions, or CPM, basis. An impression is an advertisement loaded on a web page. In addition to advertising sold on a CPM basis, we also have advertising sold on a cost-per-click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Advertising is also sold indirectly through revenue sharing arrangements with advertising exchange partners.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also offer non-dealer advertising products for the Autolist and PistonHeads websites.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Wholesale Revenue</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Buying Matrix on the CarOffer platform enables buying dealers to create standing buy orders and provides instant offers to selling dealers. Wholesale revenue includes transaction fees earned from Dealer-to-Dealer transactions, where we collect fees from both the buying and selling dealers. We also sell vehicles to dealers that we acquire at other marketplaces, where we collect a transaction fee from the buying dealers.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Wholesale revenue also includes fees earned from performing inspection and transportation services, where we collect fees from the buying dealer. Inspection and transportation service revenue is inclusive of Dealer-to-Dealer transactions, other marketplace-to-dealer transactions, and IMCO transactions.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Wholesale revenue also includes arbitration in which the vehicle is rematched to a new buyer and not acquired by us. Arbitration is the process by which we investigate and resolve claims from buying dealers.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Wholesale revenue also includes fees earned from certain guarantees offered to dealers (which include 45-Day Guarantee and OfferGuard products), where we collect fees from the buying dealer or selling dealer, as applicable.</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Product Revenue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Buying Matrix on the CarOffer platform enables consumers who are selling vehicles to be instantly presented with an offer. Product revenue includes the aggregate proceeds received from the sale of vehicles through IMCO transactions, including vehicle sale price and transaction fees collected from the buying dealers. Product revenue also includes proceeds received from the sale of vehicles acquired through arbitration, including vehicle sale price. Arbitration is the process by which we investigate and resolve claims from buying dealers. We control the vehicle in these transactions and therefore act as the principal.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Cost of Revenue</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Marketplace Cost of Revenue</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Marketplace cost of revenue includes expenses related to supporting and hosting marketplace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of capitalized website development; amortization of capitalized hosting arrangements;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r>
        <w:rPr>
          <w:rFonts w:ascii="Times New Roman" w:hAnsi="Times New Roman"/>
          <w:color w:val="000000"/>
          <w:sz w:val="20"/>
        </w:rPr>
        <w:t xml:space="preserve"> </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Wholesale Cost of Revenue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Wholesale cost of revenue includes expenses related to supporting and hosting wholesale service offerings, including Dealer-to-Dealer transactions and vehicles sold to dealers acquired at other marketplaces, on the Buying Matrix on the CarOffer platform. These expenses include vehicle transportation and inspection expenses; net losses on vehicles related to guarantees offered to dealers through Dealer-to-Dealer transactions;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Product Cost of Revenue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Product cost of revenue includes expenses related to vehicles sold to dealers through IMCO transactions and vehicles sold to dealers acquired through arbitration. These expenses include the cost of the vehicle and transportation expenses.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Sales and Marketing</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Sales and marketing expenses consist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consulting services; software subscription expenses; travel expenses; amortization of capitalized hosting arrangements; and allocated overhead expenses. A portion of our commissions that are related to obtaining a new contract are capitalized and amortized over the estimated benefit period of customer relationships. All other sales and marketing expenses are expensed as incurred. We expect sales and marketing expenses to fluctuate from quarter to quarter as we respond to changes in the macroeconomic and competitive landscapes affecting our existing dealers, consumer audience, and brand awareness, which will impact our results of operations.</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Product, Technology, and Development</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Product, technology, and development expenses consist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expenses to increase as we invest in additional engineering resources to develop new solutions and make improvements to our existing platform.</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b w:val="false"/>
          <w:i/>
          <w:color w:val="000000"/>
          <w:sz w:val="20"/>
        </w:rPr>
      </w:pPr>
      <w:r>
        <w:rPr>
          <w:rFonts w:ascii="Calibri;sans-serif" w:hAnsi="Calibri;sans-serif"/>
          <w:b w:val="false"/>
          <w:i/>
          <w:color w:val="000000"/>
          <w:sz w:val="20"/>
        </w:rPr>
        <w:t>General and Administrative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General and administrative expenses consist primarily of personnel and related expenses for our executive, finance, legal, people &amp;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expenses are expensed as incurred. We expect general and administrative expenses to increase as we continue to scale our business.</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Depreciation and Amortization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Depreciation and amortization expenses consist of depreciation on property and equipment and amortization of intangible assets and internal-use software.</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Other Income (Expense), Net</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Other income (expense), net consists primarily of interest income earned on our cash and cash equivalents, foreign exchange gains and losses, and interest expense for undrawn fees related to our credit facility and amortization of deferred financing costs.</w:t>
      </w:r>
    </w:p>
    <w:p>
      <w:pPr>
        <w:pStyle w:val="TextBody"/>
        <w:bidi w:val="0"/>
        <w:spacing w:before="240" w:after="283"/>
        <w:jc w:val="both"/>
        <w:rPr>
          <w:rFonts w:ascii="Times New Roman" w:hAnsi="Times New Roman"/>
          <w:sz w:val="20"/>
        </w:rPr>
      </w:pPr>
      <w:r>
        <w:rPr>
          <w:rFonts w:ascii="Calibri;sans-serif" w:hAnsi="Calibri;sans-serif"/>
          <w:b/>
          <w:i/>
          <w:color w:val="000000"/>
          <w:sz w:val="20"/>
        </w:rPr>
        <w:t>Provision for Income Taxes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We are subject to federal and state income taxes in the United States and taxes in foreign jurisdictions in which we operate. For the three months ended September 30, 2023 and 2022 and for the nine months ended September 30, 2023 and 2022, a provision for income taxes was recognized as a result of the consolidated taxable income position.</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We recognize deferred tax assets and liabilities based on temporary differences between the financial reporting and income tax bases of assets and liabilities using enacted tax rates in effect for the year in which the temporary differences are expected to be recovered or settled.</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regularly assess the need to recognize a valuation allowance against net deferred tax assets if, based upon the available evidence, it is more likely than not that some or all of the deferred tax assets will not be realized. As of September 30, 2023 and December 31, 2022, valuation allowances were immaterial.</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assess our income tax positions and recognize an income tax benefit or expense based upon our evaluation of the facts, circumstances, and information available at the reporting date. For the three and nine months ended September 30, 2023, there was no income tax expense related to uncertain tax provisions. As of September 30, 2023, the income tax liability related to uncertain tax positions, exclusive of immaterial interest or penalties related to uncertain tax provisions, was $0.6 million, which would favorably affect our effective tax rate, if recognized. For the three and nine months ended September 30, 2022, no income tax expense and liability related to uncertain tax positions was recognized.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color w:val="000000"/>
          <w:sz w:val="20"/>
        </w:rPr>
        <w:t>Results of Operations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For the three months ended September 30, 2023 and 2022 and for the nine months ended September 30, 2023 and 2022, our Unaudited Condensed Consolidated Income Statements are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94"/>
        <w:gridCol w:w="146"/>
        <w:gridCol w:w="211"/>
        <w:gridCol w:w="781"/>
        <w:gridCol w:w="166"/>
        <w:gridCol w:w="146"/>
        <w:gridCol w:w="211"/>
        <w:gridCol w:w="781"/>
        <w:gridCol w:w="166"/>
        <w:gridCol w:w="146"/>
        <w:gridCol w:w="211"/>
        <w:gridCol w:w="781"/>
        <w:gridCol w:w="166"/>
        <w:gridCol w:w="146"/>
        <w:gridCol w:w="211"/>
        <w:gridCol w:w="931"/>
        <w:gridCol w:w="611"/>
      </w:tblGrid>
      <w:tr>
        <w:trPr/>
        <w:tc>
          <w:tcPr>
            <w:tcW w:w="4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611" w:type="dxa"/>
            <w:tcBorders/>
            <w:shd w:fill="FFFFFF" w:val="clear"/>
            <w:vAlign w:val="center"/>
          </w:tcPr>
          <w:p>
            <w:pPr>
              <w:pStyle w:val="TableContents"/>
              <w:bidi w:val="0"/>
              <w:spacing w:before="0" w:after="283"/>
              <w:jc w:val="center"/>
              <w:rPr/>
            </w:pPr>
            <w:r>
              <w:rPr/>
              <w:t> </w:t>
            </w:r>
          </w:p>
        </w:tc>
      </w:tr>
      <w:tr>
        <w:trPr/>
        <w:tc>
          <w:tcPr>
            <w:tcW w:w="439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39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177,909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165,309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515,986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492,524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9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21,735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47,045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78,873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213,976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9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214,100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96,260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661,791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94" w:type="dxa"/>
            <w:tcBorders/>
            <w:shd w:fill="CFF0FC"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219,419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426,454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691,119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1,368,291</w:t>
            </w:r>
          </w:p>
        </w:tc>
        <w:tc>
          <w:tcPr>
            <w:tcW w:w="611" w:type="dxa"/>
            <w:tcBorders/>
            <w:shd w:fill="CFF0FC" w:val="clear"/>
            <w:vAlign w:val="center"/>
          </w:tcPr>
          <w:p>
            <w:pPr>
              <w:pStyle w:val="TableContents"/>
              <w:bidi w:val="0"/>
              <w:spacing w:before="0" w:after="283"/>
              <w:jc w:val="left"/>
              <w:rPr/>
            </w:pPr>
            <w:r>
              <w:rPr/>
              <w:t> </w:t>
            </w:r>
          </w:p>
        </w:tc>
      </w:tr>
      <w:tr>
        <w:trPr/>
        <w:tc>
          <w:tcPr>
            <w:tcW w:w="439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39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14,956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45,830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40,422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9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67,780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146,489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9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218,924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94,090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660,869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94" w:type="dxa"/>
            <w:tcBorders/>
            <w:shd w:fill="FFFFFF"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55,121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275,669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207,700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847,780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164,298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150,785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483,419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520,511</w:t>
            </w:r>
          </w:p>
        </w:tc>
        <w:tc>
          <w:tcPr>
            <w:tcW w:w="611" w:type="dxa"/>
            <w:tcBorders/>
            <w:shd w:fill="CFF0FC" w:val="clear"/>
            <w:vAlign w:val="center"/>
          </w:tcPr>
          <w:p>
            <w:pPr>
              <w:pStyle w:val="TableContents"/>
              <w:bidi w:val="0"/>
              <w:spacing w:before="0" w:after="283"/>
              <w:jc w:val="left"/>
              <w:rPr/>
            </w:pPr>
            <w:r>
              <w:rPr/>
              <w:t> </w:t>
            </w:r>
          </w:p>
        </w:tc>
      </w:tr>
      <w:tr>
        <w:trPr/>
        <w:tc>
          <w:tcPr>
            <w:tcW w:w="439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39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76,828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83,319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230,243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266,505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9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Product, technology,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30,208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109,432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92,215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9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24,904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77,090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71,395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9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11,539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94" w:type="dxa"/>
            <w:tcBorders/>
            <w:shd w:fill="CFF0FC"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122,129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428,527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441,654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23,095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28,656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78,857</w:t>
            </w:r>
          </w:p>
        </w:tc>
        <w:tc>
          <w:tcPr>
            <w:tcW w:w="611" w:type="dxa"/>
            <w:tcBorders/>
            <w:shd w:fill="FFFFFF" w:val="clear"/>
            <w:vAlign w:val="center"/>
          </w:tcPr>
          <w:p>
            <w:pPr>
              <w:pStyle w:val="TableContents"/>
              <w:bidi w:val="0"/>
              <w:spacing w:before="0" w:after="283"/>
              <w:jc w:val="left"/>
              <w:rPr/>
            </w:pPr>
            <w:r>
              <w:rPr/>
              <w:t> </w:t>
            </w:r>
          </w:p>
        </w:tc>
      </w:tr>
      <w:tr>
        <w:trPr/>
        <w:tc>
          <w:tcPr>
            <w:tcW w:w="439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394"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1,506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94"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4394" w:type="dxa"/>
            <w:tcBorders/>
            <w:shd w:fill="FFFFFF"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6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439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27,262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28,856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68,077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78,782</w:t>
            </w:r>
          </w:p>
        </w:tc>
        <w:tc>
          <w:tcPr>
            <w:tcW w:w="611" w:type="dxa"/>
            <w:tcBorders/>
            <w:shd w:fill="CFF0FC" w:val="clear"/>
            <w:vAlign w:val="center"/>
          </w:tcPr>
          <w:p>
            <w:pPr>
              <w:pStyle w:val="TableContents"/>
              <w:bidi w:val="0"/>
              <w:spacing w:before="0" w:after="283"/>
              <w:jc w:val="left"/>
              <w:rPr/>
            </w:pPr>
            <w:r>
              <w:rPr/>
              <w:t> </w:t>
            </w:r>
          </w:p>
        </w:tc>
      </w:tr>
      <w:tr>
        <w:trPr/>
        <w:tc>
          <w:tcPr>
            <w:tcW w:w="439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23,059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Consolidated 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44,656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55,723</w:t>
            </w:r>
          </w:p>
        </w:tc>
        <w:tc>
          <w:tcPr>
            <w:tcW w:w="611" w:type="dxa"/>
            <w:tcBorders/>
            <w:shd w:fill="CFF0FC" w:val="clear"/>
            <w:vAlign w:val="center"/>
          </w:tcPr>
          <w:p>
            <w:pPr>
              <w:pStyle w:val="TableContents"/>
              <w:bidi w:val="0"/>
              <w:spacing w:before="0" w:after="283"/>
              <w:jc w:val="left"/>
              <w:rPr/>
            </w:pPr>
            <w:r>
              <w:rPr/>
              <w:t> </w:t>
            </w:r>
          </w:p>
        </w:tc>
      </w:tr>
      <w:tr>
        <w:trPr/>
        <w:tc>
          <w:tcPr>
            <w:tcW w:w="439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loss attributable to redeemable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439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income attributable to CarGurus, Inc.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59,594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three months ended September 30, 2023 and 2022 and for the nine months ended September 30, 2023 and 2022, our segment revenue and our segment income (loss) from operations are as follows:</w:t>
      </w:r>
    </w:p>
    <w:tbl>
      <w:tblPr>
        <w:tblW w:w="9077" w:type="dxa"/>
        <w:jc w:val="left"/>
        <w:tblInd w:w="0" w:type="dxa"/>
        <w:tblLayout w:type="fixed"/>
        <w:tblCellMar>
          <w:top w:w="28" w:type="dxa"/>
          <w:left w:w="28" w:type="dxa"/>
          <w:bottom w:w="28" w:type="dxa"/>
          <w:right w:w="28" w:type="dxa"/>
        </w:tblCellMar>
      </w:tblPr>
      <w:tblGrid>
        <w:gridCol w:w="3466"/>
        <w:gridCol w:w="146"/>
        <w:gridCol w:w="211"/>
        <w:gridCol w:w="781"/>
        <w:gridCol w:w="166"/>
        <w:gridCol w:w="146"/>
        <w:gridCol w:w="211"/>
        <w:gridCol w:w="781"/>
        <w:gridCol w:w="166"/>
        <w:gridCol w:w="146"/>
        <w:gridCol w:w="211"/>
        <w:gridCol w:w="781"/>
        <w:gridCol w:w="166"/>
        <w:gridCol w:w="146"/>
        <w:gridCol w:w="211"/>
        <w:gridCol w:w="931"/>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164,323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154,402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478,387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459,044</w:t>
            </w:r>
          </w:p>
        </w:tc>
        <w:tc>
          <w:tcPr>
            <w:tcW w:w="41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41,510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261,145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175,133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875,767</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37,599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33,480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219,419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426,454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691,119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1,368,291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34,660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84,443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92,842</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(11,652</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(3,599</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(29,184</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(8,348</w:t>
            </w:r>
          </w:p>
        </w:tc>
        <w:tc>
          <w:tcPr>
            <w:tcW w:w="4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(5,637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6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28,656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78,857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three months ended September 30, 2023 and 2022 and for the nine months ended September 30, 2023 and 2022, our Unaudited Condensed Consolidated Income Statements as a percentage of total revenue are as follows (amounts in the table below may not sum due to rounding):</w:t>
      </w:r>
    </w:p>
    <w:p>
      <w:pPr>
        <w:pStyle w:val="TextBody"/>
        <w:bidi w:val="0"/>
        <w:jc w:val="both"/>
        <w:rPr/>
      </w:pPr>
      <w:r>
        <w:rPr/>
        <w:t> </w:t>
      </w:r>
    </w:p>
    <w:tbl>
      <w:tblPr>
        <w:tblW w:w="8963" w:type="dxa"/>
        <w:jc w:val="left"/>
        <w:tblInd w:w="0" w:type="dxa"/>
        <w:tblLayout w:type="fixed"/>
        <w:tblCellMar>
          <w:top w:w="28" w:type="dxa"/>
          <w:left w:w="28" w:type="dxa"/>
          <w:bottom w:w="28" w:type="dxa"/>
          <w:right w:w="28" w:type="dxa"/>
        </w:tblCellMar>
      </w:tblPr>
      <w:tblGrid>
        <w:gridCol w:w="4756"/>
        <w:gridCol w:w="146"/>
        <w:gridCol w:w="148"/>
        <w:gridCol w:w="427"/>
        <w:gridCol w:w="244"/>
        <w:gridCol w:w="148"/>
        <w:gridCol w:w="148"/>
        <w:gridCol w:w="427"/>
        <w:gridCol w:w="241"/>
        <w:gridCol w:w="146"/>
        <w:gridCol w:w="146"/>
        <w:gridCol w:w="421"/>
        <w:gridCol w:w="241"/>
        <w:gridCol w:w="146"/>
        <w:gridCol w:w="146"/>
        <w:gridCol w:w="421"/>
        <w:gridCol w:w="6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575" w:type="dxa"/>
            <w:gridSpan w:val="2"/>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75"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81</w:t>
            </w:r>
          </w:p>
        </w:tc>
        <w:tc>
          <w:tcPr>
            <w:tcW w:w="24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39</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w:t>
            </w:r>
          </w:p>
        </w:tc>
        <w:tc>
          <w:tcPr>
            <w:tcW w:w="611" w:type="dxa"/>
            <w:tcBorders/>
            <w:shd w:fill="FFFFFF"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56" w:type="dxa"/>
            <w:tcBorders/>
            <w:shd w:fill="CFF0FC" w:val="clear"/>
            <w:vAlign w:val="center"/>
          </w:tcPr>
          <w:p>
            <w:pPr>
              <w:pStyle w:val="TableContents"/>
              <w:bidi w:val="0"/>
              <w:spacing w:before="0" w:after="283"/>
              <w:ind w:left="300" w:right="0" w:firstLine="300"/>
              <w:jc w:val="left"/>
              <w:rPr>
                <w:rFonts w:ascii="Calibri;sans-serif" w:hAnsi="Calibri;sans-serif"/>
                <w:b w:val="false"/>
                <w:color w:val="000000"/>
                <w:sz w:val="20"/>
              </w:rPr>
            </w:pPr>
            <w:r>
              <w:rPr>
                <w:rFonts w:ascii="Calibri;sans-serif" w:hAnsi="Calibri;sans-serif"/>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6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righ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56" w:type="dxa"/>
            <w:tcBorders/>
            <w:shd w:fill="FFFFFF" w:val="clear"/>
            <w:vAlign w:val="center"/>
          </w:tcPr>
          <w:p>
            <w:pPr>
              <w:pStyle w:val="TableContents"/>
              <w:bidi w:val="0"/>
              <w:spacing w:before="0" w:after="283"/>
              <w:ind w:left="300" w:right="0" w:firstLine="300"/>
              <w:jc w:val="left"/>
              <w:rPr>
                <w:rFonts w:ascii="Calibri;sans-serif" w:hAnsi="Calibri;sans-serif"/>
                <w:b w:val="false"/>
                <w:color w:val="000000"/>
                <w:sz w:val="20"/>
              </w:rPr>
            </w:pPr>
            <w:r>
              <w:rPr>
                <w:rFonts w:ascii="Calibri;sans-serif" w:hAnsi="Calibri;sans-serif"/>
                <w:b w:val="false"/>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w:t>
            </w:r>
          </w:p>
        </w:tc>
        <w:tc>
          <w:tcPr>
            <w:tcW w:w="6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Product, technology, and development</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24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56" w:type="dxa"/>
            <w:tcBorders/>
            <w:shd w:fill="CFF0FC"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64</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Income from operations</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61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575" w:type="dxa"/>
            <w:gridSpan w:val="2"/>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575"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4756" w:type="dxa"/>
            <w:tcBorders/>
            <w:shd w:fill="FFFFFF" w:val="clear"/>
            <w:vAlign w:val="center"/>
          </w:tcPr>
          <w:p>
            <w:pPr>
              <w:pStyle w:val="TableContents"/>
              <w:bidi w:val="0"/>
              <w:spacing w:before="0" w:after="283"/>
              <w:ind w:left="400" w:right="0" w:firstLine="400"/>
              <w:jc w:val="left"/>
              <w:rPr>
                <w:rFonts w:ascii="Calibri;sans-serif" w:hAnsi="Calibri;sans-serif"/>
                <w:b w:val="false"/>
                <w:color w:val="000000"/>
                <w:sz w:val="20"/>
              </w:rPr>
            </w:pPr>
            <w:r>
              <w:rPr>
                <w:rFonts w:ascii="Calibri;sans-serif" w:hAnsi="Calibri;sans-serif"/>
                <w:b w:val="false"/>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6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475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6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Consolidated net income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6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loss attributable to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8" w:type="dxa"/>
            <w:tcBorders/>
            <w:shd w:fill="FFFFFF" w:val="cle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475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income attributable to CarGurus, Inc.</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8" w:type="dxa"/>
            <w:tcBorders/>
            <w:shd w:fill="CFF0FC" w:val="cle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the three months ended September 30, 2023 and 2022 and for the nine months ended September 30, 2023 and 2022, our segment revenue as a percentage of total revenue and our segment income (loss) from operations as a percentage of segment revenue are as follows (amounts in the table below may not sum due to rounding):</w:t>
      </w:r>
    </w:p>
    <w:p>
      <w:pPr>
        <w:pStyle w:val="TextBody"/>
        <w:bidi w:val="0"/>
        <w:ind w:left="0" w:right="0" w:firstLine="490"/>
        <w:jc w:val="both"/>
        <w:rPr/>
      </w:pPr>
      <w:r>
        <w:rPr/>
        <w:t> </w:t>
      </w:r>
    </w:p>
    <w:tbl>
      <w:tblPr>
        <w:tblW w:w="7473" w:type="dxa"/>
        <w:jc w:val="left"/>
        <w:tblInd w:w="0" w:type="dxa"/>
        <w:tblLayout w:type="fixed"/>
        <w:tblCellMar>
          <w:top w:w="28" w:type="dxa"/>
          <w:left w:w="28" w:type="dxa"/>
          <w:bottom w:w="28" w:type="dxa"/>
          <w:right w:w="28" w:type="dxa"/>
        </w:tblCellMar>
      </w:tblPr>
      <w:tblGrid>
        <w:gridCol w:w="3466"/>
        <w:gridCol w:w="146"/>
        <w:gridCol w:w="148"/>
        <w:gridCol w:w="427"/>
        <w:gridCol w:w="244"/>
        <w:gridCol w:w="148"/>
        <w:gridCol w:w="148"/>
        <w:gridCol w:w="427"/>
        <w:gridCol w:w="241"/>
        <w:gridCol w:w="146"/>
        <w:gridCol w:w="146"/>
        <w:gridCol w:w="421"/>
        <w:gridCol w:w="241"/>
        <w:gridCol w:w="146"/>
        <w:gridCol w:w="146"/>
        <w:gridCol w:w="421"/>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Revenue:</w:t>
            </w:r>
          </w:p>
        </w:tc>
        <w:tc>
          <w:tcPr>
            <w:tcW w:w="146" w:type="dxa"/>
            <w:tcBorders/>
            <w:shd w:fill="CFF0FC" w:val="clear"/>
            <w:vAlign w:val="center"/>
          </w:tcPr>
          <w:p>
            <w:pPr>
              <w:pStyle w:val="TableContents"/>
              <w:bidi w:val="0"/>
              <w:spacing w:before="0" w:after="283"/>
              <w:jc w:val="left"/>
              <w:rPr/>
            </w:pPr>
            <w:r>
              <w:rPr/>
              <w:t> </w:t>
            </w:r>
          </w:p>
        </w:tc>
        <w:tc>
          <w:tcPr>
            <w:tcW w:w="575" w:type="dxa"/>
            <w:gridSpan w:val="2"/>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75"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24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34</w:t>
            </w:r>
          </w:p>
        </w:tc>
        <w:tc>
          <w:tcPr>
            <w:tcW w:w="4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64</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8" w:type="dxa"/>
            <w:tcBorders/>
            <w:shd w:fill="CFF0FC" w:val="cle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w:t>
            </w:r>
          </w:p>
        </w:tc>
        <w:tc>
          <w:tcPr>
            <w:tcW w:w="244"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w:t>
            </w:r>
          </w:p>
        </w:tc>
        <w:tc>
          <w:tcPr>
            <w:tcW w:w="4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(28</w:t>
            </w:r>
          </w:p>
        </w:tc>
        <w:tc>
          <w:tcPr>
            <w:tcW w:w="244"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4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6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8" w:type="dxa"/>
            <w:tcBorders/>
            <w:shd w:fill="FFFFFF" w:val="clear"/>
            <w:vAlign w:val="center"/>
          </w:tcPr>
          <w:p>
            <w:pPr>
              <w:pStyle w:val="TableContents"/>
              <w:bidi w:val="0"/>
              <w:spacing w:before="0" w:after="283"/>
              <w:jc w:val="righ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For the three months ended September 30, 2023 and 2022</w:t>
      </w:r>
    </w:p>
    <w:p>
      <w:pPr>
        <w:pStyle w:val="TextBody"/>
        <w:bidi w:val="0"/>
        <w:spacing w:before="240" w:after="283"/>
        <w:jc w:val="both"/>
        <w:rPr>
          <w:rFonts w:ascii="Times New Roman" w:hAnsi="Times New Roman"/>
          <w:sz w:val="20"/>
        </w:rPr>
      </w:pPr>
      <w:r>
        <w:rPr>
          <w:rFonts w:ascii="Calibri;sans-serif" w:hAnsi="Calibri;sans-serif"/>
          <w:b/>
          <w:i/>
          <w:color w:val="000000"/>
          <w:sz w:val="20"/>
        </w:rPr>
        <w:t>Revenue</w:t>
      </w:r>
      <w:r>
        <w:rPr>
          <w:rFonts w:ascii="Times New Roman" w:hAnsi="Times New Roman"/>
          <w:color w:val="000000"/>
          <w:sz w:val="20"/>
        </w:rPr>
        <w:t xml:space="preserve"> </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Revenue by Source</w:t>
      </w:r>
    </w:p>
    <w:p>
      <w:pPr>
        <w:pStyle w:val="TextBody"/>
        <w:bidi w:val="0"/>
        <w:jc w:val="both"/>
        <w:rPr/>
      </w:pPr>
      <w:r>
        <w:rPr/>
        <w:t> </w:t>
      </w:r>
    </w:p>
    <w:tbl>
      <w:tblPr>
        <w:tblW w:w="7692"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841"/>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177,909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165,309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4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21,735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47,045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(25,310</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4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19,775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214,100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(194,325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219,419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426,454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(207,035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81</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39</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Overall revenue decreased $207.0 million, or 49%, in the three months ended September 30, 2023 compared to the three months ended September 30, 2022.</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Marketplace revenue increased $12.6 million, or 8%, in the three months ended September 30, 2023 compared to the three months ended September 30, 2022 and represented 81% of total revenue for the three months ended September 30, 2023 compared to 39% of total revenue for the three months ended September 30, 2022. The increase was due primarily to a $8.0 million increase in Listings revenue as a result of the 9% growth in our QARSD to $5,317 at September 30, 2023 from $4,889 at September 30, 2022. The increase in QARSD was due primarily to signing on new dealers with higher average monthly recurring revenue and revenue expansion through product upgrades for existing dealers. The increase was also due in part to a $4.8 million increase in digital retail revenue due to growth in Digital Deal product offering as it was launched in the second quarter of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Wholesale revenue decreased $25.3 million, or 54%, in the three months ended September 30, 2023 compared to the three months ended September 30, 2022 and represented 10% of total revenue for the three months ended September 30, 2023 compared to 11% of total revenue for the three months ended September 30, 2022. The decrease was due primarily to a 66% decrease in Transactions, which includes Dealer-to-Dealer transactions and IMCO transactions, to 13,562 for the three months ended September 30, 2023 from 39,437 for the three months ended September 30, 2022, as a result of less favorable market conditions and operational challenges in the prior year which resulted in our focus in the current year on optimization of internal policies and procedures over volume of Transactions. The decrease in Transactions resulted in a decrease in transaction fee revenue as well as a decrease in transportation revenue, inspection revenue, and guarantee revenue.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Product revenue decreased by $194.3 million, or 91%, in the three months ended September 30, 2023 compared to the three months ended September 30, 2022 and represented 9% of total revenue for the three months ended September 30, 2023 compared to 50% of total revenue for the three months ended September 30, 2022. The decrease was due primarily to a $164.2 million decrease in proceeds received from the sale of vehicles through IMCO transactions, including vehicle sale price and transaction fees, as a result of decreased Transactions resulting from the purposeful slowdown in volume as we emphasize operational rigor, as well as a decrease in the average selling price. The decrease in product revenue was also due in part to a $30.1 million decrease in proceeds received from the sale of vehicles acquired through arbitration, including vehicle sale price and transaction fees, as a result of decreased arbitration claims primarily due to decreased Transactions and process improvements focused on higher quality inspections.</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Segment Revenue</w:t>
      </w:r>
    </w:p>
    <w:p>
      <w:pPr>
        <w:pStyle w:val="TextBody"/>
        <w:bidi w:val="0"/>
        <w:jc w:val="both"/>
        <w:rPr/>
      </w:pPr>
      <w:r>
        <w:rPr/>
        <w:t> </w:t>
      </w:r>
    </w:p>
    <w:tbl>
      <w:tblPr>
        <w:tblW w:w="7672"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841"/>
        <w:gridCol w:w="166"/>
        <w:gridCol w:w="146"/>
        <w:gridCol w:w="146"/>
        <w:gridCol w:w="376"/>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164,323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154,402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3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41,510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261,145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(219,635</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w:t>
            </w:r>
          </w:p>
        </w:tc>
        <w:tc>
          <w:tcPr>
            <w:tcW w:w="3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13,586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10,907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219,419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426,454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(207,035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U.S. Marketplace segment revenue increased $9.9 million, or 6%, in the three months ended September 30, 2023 compared to the three months ended September 30, 2022 and represented 75% of total revenue for the three months ended September 30, 2023 compared to 36% of total revenue for the three months ended September 30, 2022. The increase was due primarily to a $12.6 million increase in marketplace revenue, as described above.</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Digital Wholesale segment revenue, which is comprised of wholesale revenue and product revenue, decreased $219.6 million, or 84%, in the three months ended September 30, 2023 compared to the three months ended September 30, 2022 and represented 19% of total revenue for the three months ended September 30, 2023 compared to 61% of total revenue for the three months ended September 30, 2022. The decrease in Digital Wholesale segment revenue was due to a decrease in wholesale revenue and product revenue, as described above.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Cost of Revenue</w:t>
      </w:r>
    </w:p>
    <w:p>
      <w:pPr>
        <w:pStyle w:val="TextBody"/>
        <w:bidi w:val="0"/>
        <w:jc w:val="both"/>
        <w:rPr/>
      </w:pPr>
      <w:r>
        <w:rPr/>
        <w:t> </w:t>
      </w:r>
    </w:p>
    <w:tbl>
      <w:tblPr>
        <w:tblW w:w="7587" w:type="dxa"/>
        <w:jc w:val="left"/>
        <w:tblInd w:w="0" w:type="dxa"/>
        <w:tblLayout w:type="fixed"/>
        <w:tblCellMar>
          <w:top w:w="28" w:type="dxa"/>
          <w:left w:w="28" w:type="dxa"/>
          <w:bottom w:w="28" w:type="dxa"/>
          <w:right w:w="28" w:type="dxa"/>
        </w:tblCellMar>
      </w:tblPr>
      <w:tblGrid>
        <w:gridCol w:w="2491"/>
        <w:gridCol w:w="146"/>
        <w:gridCol w:w="211"/>
        <w:gridCol w:w="676"/>
        <w:gridCol w:w="241"/>
        <w:gridCol w:w="146"/>
        <w:gridCol w:w="211"/>
        <w:gridCol w:w="781"/>
        <w:gridCol w:w="241"/>
        <w:gridCol w:w="146"/>
        <w:gridCol w:w="211"/>
        <w:gridCol w:w="841"/>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14,823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14,956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(133</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4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21,284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41,789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(20,505</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4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19,014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218,924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(199,910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55,121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275,669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(220,548</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(80</w:t>
            </w:r>
          </w:p>
        </w:tc>
        <w:tc>
          <w:tcPr>
            <w:tcW w:w="4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Overall cost of revenue decreased $220.5 million, or 80%, in the three months ended September 30, 2023 compared to the three months ended September 30, 2022.</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Marketplace cost of revenue remained relatively consistent in the three months ended September 30, 2023 compared to the three months ended September 30, 2022 and represented 7% of total revenue for the three months ended September 30, 2023 compared to 4% of total revenue for the three months ended September 30, 2022.</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Wholesale cost of revenue decreased $20.5 million, or 49%, in the three months ended September 30, 2023 compared to the three months ended September 30, 2022 and represented 10% of total revenue for both the three months ended September 30, 2023 and 2022. The decrease was due primarily to process improvements implemented, resulting in a purposeful decrease in the volume of Dealer-to-Dealer transactions and IMCO transactions. This decrease in volume resulted in a decrease in transportation expense, personnel costs, third-party service provider expense, and inspection expense.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Product cost of revenue decreased $199.9 million, or 91%, in the three months ended September 30, 2023 compared to the three months ended September 30, 2022 and represented 9% of the total revenue for the three months ended September 30, 2023 compared to 51% of total revenue for the three months ended September 30, 2022. The decrease was due primarily to a $158.7 million decrease in expenses related to vehicles sold to dealers through IMCO transactions as a result of decreased Transactions resulting from the purposeful slowdown in volume as we emphasize operational rigor, as well as a decrease in the average selling price. The decrease in product cost of revenue was also due in part to a $41.3 million decrease in expenses related to vehicles sold to dealers acquired through arbitration as a result of decreased arbitration claims primarily due to decreased Transactions and process improvements focused on higher quality inspections.</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40" w:after="283"/>
        <w:jc w:val="both"/>
        <w:rPr>
          <w:rFonts w:ascii="Times New Roman" w:hAnsi="Times New Roman"/>
          <w:sz w:val="20"/>
        </w:rPr>
      </w:pPr>
      <w:r>
        <w:rPr>
          <w:rFonts w:ascii="Calibri;sans-serif" w:hAnsi="Calibri;sans-serif"/>
          <w:b w:val="false"/>
          <w:i/>
          <w:color w:val="000000"/>
          <w:sz w:val="20"/>
        </w:rPr>
        <w:t>Sales and Marketing Expense</w:t>
      </w:r>
      <w:r>
        <w:rPr>
          <w:rFonts w:ascii="Times New Roman" w:hAnsi="Times New Roman"/>
          <w:color w:val="000000"/>
          <w:sz w:val="20"/>
        </w:rPr>
        <w:t xml:space="preserve"> </w:t>
      </w:r>
    </w:p>
    <w:p>
      <w:pPr>
        <w:pStyle w:val="TextBody"/>
        <w:bidi w:val="0"/>
        <w:jc w:val="both"/>
        <w:rPr/>
      </w:pPr>
      <w:r>
        <w:rPr/>
        <w:t> </w:t>
      </w:r>
    </w:p>
    <w:tbl>
      <w:tblPr>
        <w:tblW w:w="6907"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631"/>
        <w:gridCol w:w="166"/>
        <w:gridCol w:w="146"/>
        <w:gridCol w:w="146"/>
        <w:gridCol w:w="271"/>
        <w:gridCol w:w="34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1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76,828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83,319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(6,491</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34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Sales and marketing expense decreased $6.5 million, or 8%, in the three months ended September 30, 2023 compared to the three months ended September 30, 2022. The decrease was due primarily to a $5.2 million decrease in marketing expenses mainly driven by reductions in IMCO marketing spend. The decrease was also due in part to a $4.1 million decrease in advertising expenses due to decreased spend as a result of a change in advertising strategy implemented in the fourth quarter of 2022 and a $2.6 million decrease in commissions expense due primarily to decreased Transactions. The decrease in sales and marketing expense was offset by a $2.7 million increase in stock-based compensation due to the larger reduction resulting from the prior year revaluation of liability-based stock awards as compared to the reduction resulting from the current year revaluation. The decrease in sales and marketing expense was also offset in part by a $1.7 million increase in rent expense due to the commencement of the 1001 Boylston Street lease.</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Product, Technology, and Development Expense</w:t>
      </w:r>
    </w:p>
    <w:p>
      <w:pPr>
        <w:pStyle w:val="TextBody"/>
        <w:bidi w:val="0"/>
        <w:jc w:val="both"/>
        <w:rPr/>
      </w:pPr>
      <w:r>
        <w:rPr/>
        <w:t> </w:t>
      </w:r>
    </w:p>
    <w:tbl>
      <w:tblPr>
        <w:tblW w:w="7697" w:type="dxa"/>
        <w:jc w:val="left"/>
        <w:tblInd w:w="0" w:type="dxa"/>
        <w:tblLayout w:type="fixed"/>
        <w:tblCellMar>
          <w:top w:w="28" w:type="dxa"/>
          <w:left w:w="28" w:type="dxa"/>
          <w:bottom w:w="28" w:type="dxa"/>
          <w:right w:w="28" w:type="dxa"/>
        </w:tblCellMar>
      </w:tblPr>
      <w:tblGrid>
        <w:gridCol w:w="3181"/>
        <w:gridCol w:w="146"/>
        <w:gridCol w:w="211"/>
        <w:gridCol w:w="676"/>
        <w:gridCol w:w="241"/>
        <w:gridCol w:w="146"/>
        <w:gridCol w:w="211"/>
        <w:gridCol w:w="676"/>
        <w:gridCol w:w="241"/>
        <w:gridCol w:w="146"/>
        <w:gridCol w:w="211"/>
        <w:gridCol w:w="571"/>
        <w:gridCol w:w="146"/>
        <w:gridCol w:w="146"/>
        <w:gridCol w:w="146"/>
        <w:gridCol w:w="316"/>
        <w:gridCol w:w="28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8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Product, technology,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35,434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30,208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18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Product, technology, and development expense increased $5.2 million, or 17%, in the three months ended September 30, 2023 compared to the three months ended September 30, 2022. The increase was due primarily to a $4.3 million increase in salaries and employee-related expenses, exclusive of stock-based compensation, due primarily to an 8% increase in headcount as well as merit increases. The increase was also due in part to a $1.6 million increase in rent expense due to the commencement of the 1001 Boylston Street lease, and a $1.5 million increase in stock-based compensation due to the larger reduction resulting from the prior year revaluation of liability-based stock awards as compared to the reduction resulting from the current year revaluation. The increase was offset in part by a $1.5 million decrease in product, technology, and development expense as a result of increased capitalization for our website development, and a $0.8 million decrease in recruiting and consulting expense.</w:t>
      </w:r>
    </w:p>
    <w:p>
      <w:pPr>
        <w:pStyle w:val="TextBody"/>
        <w:bidi w:val="0"/>
        <w:spacing w:before="240" w:after="283"/>
        <w:jc w:val="both"/>
        <w:rPr>
          <w:rFonts w:ascii="Times New Roman" w:hAnsi="Times New Roman"/>
          <w:sz w:val="20"/>
        </w:rPr>
      </w:pPr>
      <w:r>
        <w:rPr>
          <w:rFonts w:ascii="Calibri;sans-serif" w:hAnsi="Calibri;sans-serif"/>
          <w:b w:val="false"/>
          <w:i/>
          <w:color w:val="000000"/>
          <w:sz w:val="20"/>
        </w:rPr>
        <w:t>General and Administrative Expense</w:t>
      </w:r>
      <w:r>
        <w:rPr>
          <w:rFonts w:ascii="Times New Roman" w:hAnsi="Times New Roman"/>
          <w:color w:val="000000"/>
          <w:sz w:val="20"/>
        </w:rPr>
        <w:t xml:space="preserve"> </w:t>
      </w:r>
    </w:p>
    <w:p>
      <w:pPr>
        <w:pStyle w:val="TextBody"/>
        <w:bidi w:val="0"/>
        <w:jc w:val="both"/>
        <w:rPr/>
      </w:pPr>
      <w:r>
        <w:rPr/>
        <w:t> </w:t>
      </w:r>
    </w:p>
    <w:tbl>
      <w:tblPr>
        <w:tblW w:w="6917"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571"/>
        <w:gridCol w:w="241"/>
        <w:gridCol w:w="146"/>
        <w:gridCol w:w="211"/>
        <w:gridCol w:w="676"/>
        <w:gridCol w:w="146"/>
        <w:gridCol w:w="146"/>
        <w:gridCol w:w="146"/>
        <w:gridCol w:w="421"/>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8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24,904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4,760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423</w:t>
            </w:r>
          </w:p>
        </w:tc>
        <w:tc>
          <w:tcPr>
            <w:tcW w:w="2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General and administrative expense increased $20.1 million, or 423%, in the three months ended September 30, 2023 compared to the three months ended September 30, 2022. The increase was due primarily to a $15.8 million increase in stock-based compensation, driven by the larger reduction resulting from the prior year revaluation of liability-based stock awards as compared to the reduction resulting from the current year revaluation. This increase was also due in part to a $1.7 million increase in salaries and employee-related expenses, exclusive of stock-based compensation, due primarily to a 6% increase in headcount as well as merit increases, a $1.5 million increase in audit, legal, and insurance fees, and a $0.7 million increase in rent expense due to the commencement of the 1001 Boylston Street lease.</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Depreciation and Amortization Expense</w:t>
      </w:r>
    </w:p>
    <w:p>
      <w:pPr>
        <w:pStyle w:val="TextBody"/>
        <w:bidi w:val="0"/>
        <w:jc w:val="both"/>
        <w:rPr/>
      </w:pPr>
      <w:r>
        <w:rPr/>
        <w:t> </w:t>
      </w:r>
    </w:p>
    <w:tbl>
      <w:tblPr>
        <w:tblW w:w="6616" w:type="dxa"/>
        <w:jc w:val="left"/>
        <w:tblInd w:w="0" w:type="dxa"/>
        <w:tblLayout w:type="fixed"/>
        <w:tblCellMar>
          <w:top w:w="28" w:type="dxa"/>
          <w:left w:w="28" w:type="dxa"/>
          <w:bottom w:w="28" w:type="dxa"/>
          <w:right w:w="28" w:type="dxa"/>
        </w:tblCellMar>
      </w:tblPr>
      <w:tblGrid>
        <w:gridCol w:w="2521"/>
        <w:gridCol w:w="146"/>
        <w:gridCol w:w="211"/>
        <w:gridCol w:w="571"/>
        <w:gridCol w:w="241"/>
        <w:gridCol w:w="146"/>
        <w:gridCol w:w="211"/>
        <w:gridCol w:w="571"/>
        <w:gridCol w:w="241"/>
        <w:gridCol w:w="146"/>
        <w:gridCol w:w="225"/>
        <w:gridCol w:w="451"/>
        <w:gridCol w:w="146"/>
        <w:gridCol w:w="146"/>
        <w:gridCol w:w="146"/>
        <w:gridCol w:w="211"/>
        <w:gridCol w:w="28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63"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4,037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3,842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5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52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Depreciation and amortization expense increased $0.2 million, or 5%, in the three months ended September 30, 2023 compared to the three months ended September 30, 2022, primarily due to increased amortization related to development of our internal-use software.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Other Income (Expense), Net</w:t>
      </w:r>
    </w:p>
    <w:p>
      <w:pPr>
        <w:pStyle w:val="TextBody"/>
        <w:bidi w:val="0"/>
        <w:jc w:val="both"/>
        <w:rPr/>
      </w:pPr>
      <w:r>
        <w:rPr/>
        <w:t> </w:t>
      </w:r>
    </w:p>
    <w:tbl>
      <w:tblPr>
        <w:tblW w:w="7727" w:type="dxa"/>
        <w:jc w:val="left"/>
        <w:tblInd w:w="0" w:type="dxa"/>
        <w:tblLayout w:type="fixed"/>
        <w:tblCellMar>
          <w:top w:w="28" w:type="dxa"/>
          <w:left w:w="28" w:type="dxa"/>
          <w:bottom w:w="28" w:type="dxa"/>
          <w:right w:w="28" w:type="dxa"/>
        </w:tblCellMar>
      </w:tblPr>
      <w:tblGrid>
        <w:gridCol w:w="2961"/>
        <w:gridCol w:w="146"/>
        <w:gridCol w:w="211"/>
        <w:gridCol w:w="631"/>
        <w:gridCol w:w="241"/>
        <w:gridCol w:w="146"/>
        <w:gridCol w:w="211"/>
        <w:gridCol w:w="571"/>
        <w:gridCol w:w="241"/>
        <w:gridCol w:w="146"/>
        <w:gridCol w:w="211"/>
        <w:gridCol w:w="571"/>
        <w:gridCol w:w="166"/>
        <w:gridCol w:w="146"/>
        <w:gridCol w:w="146"/>
        <w:gridCol w:w="571"/>
        <w:gridCol w:w="41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96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296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5,261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1,158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354</w:t>
            </w:r>
          </w:p>
        </w:tc>
        <w:tc>
          <w:tcPr>
            <w:tcW w:w="4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96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(1,094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(958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96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4,167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96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96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96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Total other income (expense), net increased $4.0 million, or 1,984%, in the three months ended September 30, 2023 compared to the three months ended September 30, 2022. The $4.1 million increase in interest income was due primarily to interest rate increases since September 30, 2022, as well as an increase related to new interest-bearing accounts. The $0.1 million decrease in other expense, net was due primarily to a $0.4 million decrease in realized and unrealized loss associated with the fluctuation of certain foreign currencies offset in part by an increase in interest expense.</w:t>
      </w:r>
    </w:p>
    <w:p>
      <w:pPr>
        <w:pStyle w:val="TextBody"/>
        <w:bidi w:val="0"/>
        <w:spacing w:before="240" w:after="283"/>
        <w:jc w:val="both"/>
        <w:rPr>
          <w:rFonts w:ascii="Times New Roman" w:hAnsi="Times New Roman"/>
          <w:sz w:val="20"/>
        </w:rPr>
      </w:pPr>
      <w:r>
        <w:rPr>
          <w:rFonts w:ascii="Calibri;sans-serif" w:hAnsi="Calibri;sans-serif"/>
          <w:b/>
          <w:i/>
          <w:color w:val="000000"/>
          <w:sz w:val="20"/>
        </w:rPr>
        <w:t>Provision for Income Taxes</w:t>
      </w:r>
      <w:r>
        <w:rPr>
          <w:rFonts w:ascii="Times New Roman" w:hAnsi="Times New Roman"/>
          <w:color w:val="000000"/>
          <w:sz w:val="20"/>
        </w:rPr>
        <w:t xml:space="preserve"> </w:t>
      </w:r>
    </w:p>
    <w:p>
      <w:pPr>
        <w:pStyle w:val="TextBody"/>
        <w:bidi w:val="0"/>
        <w:jc w:val="both"/>
        <w:rPr/>
      </w:pPr>
      <w:r>
        <w:rPr/>
        <w:t> </w:t>
      </w:r>
    </w:p>
    <w:tbl>
      <w:tblPr>
        <w:tblW w:w="6907" w:type="dxa"/>
        <w:jc w:val="left"/>
        <w:tblInd w:w="0" w:type="dxa"/>
        <w:tblLayout w:type="fixed"/>
        <w:tblCellMar>
          <w:top w:w="28" w:type="dxa"/>
          <w:left w:w="28" w:type="dxa"/>
          <w:bottom w:w="28" w:type="dxa"/>
          <w:right w:w="28" w:type="dxa"/>
        </w:tblCellMar>
      </w:tblPr>
      <w:tblGrid>
        <w:gridCol w:w="2296"/>
        <w:gridCol w:w="146"/>
        <w:gridCol w:w="211"/>
        <w:gridCol w:w="571"/>
        <w:gridCol w:w="241"/>
        <w:gridCol w:w="146"/>
        <w:gridCol w:w="211"/>
        <w:gridCol w:w="676"/>
        <w:gridCol w:w="241"/>
        <w:gridCol w:w="146"/>
        <w:gridCol w:w="211"/>
        <w:gridCol w:w="631"/>
        <w:gridCol w:w="166"/>
        <w:gridCol w:w="146"/>
        <w:gridCol w:w="146"/>
        <w:gridCol w:w="376"/>
        <w:gridCol w:w="34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1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8,289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10,032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(1,743</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34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Provision for income taxes decreased $1.7 million, or 17%, in the three months ended September 30, 2023 compared to the three months ended September 30, 2022, primarily due to lower aggregated $0.9 million shortfalls on the taxable compensation of stock-based awards and the Section 162(m) excess officer compensation limitation recorded during the three months ended September 30, 2023 compared to $2.5 million tax expense related to shortfalls on the taxable compensation of stock-based awards and the Section 162(m) excess officer compensation limitation recorded during the three months ended September 30, 2022.</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Segment Income (Loss) from Operations</w:t>
      </w:r>
    </w:p>
    <w:p>
      <w:pPr>
        <w:pStyle w:val="TextBody"/>
        <w:bidi w:val="0"/>
        <w:jc w:val="both"/>
        <w:rPr/>
      </w:pPr>
      <w:r>
        <w:rPr/>
        <w:t> </w:t>
      </w:r>
    </w:p>
    <w:tbl>
      <w:tblPr>
        <w:tblW w:w="8362" w:type="dxa"/>
        <w:jc w:val="left"/>
        <w:tblInd w:w="0" w:type="dxa"/>
        <w:tblLayout w:type="fixed"/>
        <w:tblCellMar>
          <w:top w:w="28" w:type="dxa"/>
          <w:left w:w="28" w:type="dxa"/>
          <w:bottom w:w="28" w:type="dxa"/>
          <w:right w:w="28" w:type="dxa"/>
        </w:tblCellMar>
      </w:tblPr>
      <w:tblGrid>
        <w:gridCol w:w="3436"/>
        <w:gridCol w:w="146"/>
        <w:gridCol w:w="211"/>
        <w:gridCol w:w="736"/>
        <w:gridCol w:w="241"/>
        <w:gridCol w:w="146"/>
        <w:gridCol w:w="211"/>
        <w:gridCol w:w="676"/>
        <w:gridCol w:w="241"/>
        <w:gridCol w:w="146"/>
        <w:gridCol w:w="211"/>
        <w:gridCol w:w="631"/>
        <w:gridCol w:w="166"/>
        <w:gridCol w:w="146"/>
        <w:gridCol w:w="146"/>
        <w:gridCol w:w="481"/>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8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3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33,285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34,660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(1,375</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3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3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(11,652</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(3,599</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(8,053</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(224</w:t>
            </w:r>
          </w:p>
        </w:tc>
        <w:tc>
          <w:tcPr>
            <w:tcW w:w="3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3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1,462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(2,405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23,095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28,656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3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segment revenue: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3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3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(28</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3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43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U.S. Marketplace segment income from operations decreased $1.4 million, or 4%, in the three months ended September 30, 2023 compared to the three months ended September 30, 2022 and represented 20% of U.S. Marketplace segment revenue for the three months ended September 30, 2023 and 22% of U.S. Marketplace segment revenue for the three months ended September 30, 2022. The decrease was due to increases in revenue of $9.9 million, offset by decreases in cost of revenue of $0.3 million and increases in operating expenses of $11.6 million.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Digital Wholesale segment loss from operations increased $8.1 million, or 224%, in the three months ended September 30, 2023 compared to the three months ended September 30, 2022 and represented (28)% of Digital Wholesale segment revenue for the three months ended September 30, 2023 and (1)% of Digital Wholesale segment revenue for the three months ended September 30, 2022. The increase in the loss was due to decreases in revenue of $219.6 million, offset by decreases in cost of revenue of $220.4 million. The increase in the loss was also attributable to increases in operating expenses of $8.8 million.</w:t>
      </w:r>
    </w:p>
    <w:p>
      <w:pPr>
        <w:pStyle w:val="TextBody"/>
        <w:bidi w:val="0"/>
        <w:spacing w:before="240" w:after="283"/>
        <w:jc w:val="both"/>
        <w:rPr>
          <w:rFonts w:ascii="Times New Roman" w:hAnsi="Times New Roman"/>
          <w:sz w:val="20"/>
        </w:rPr>
      </w:pPr>
      <w:r>
        <w:rPr>
          <w:rFonts w:ascii="Calibri;sans-serif" w:hAnsi="Calibri;sans-serif"/>
          <w:b/>
          <w:i/>
          <w:color w:val="000000"/>
          <w:sz w:val="20"/>
        </w:rPr>
        <w:t>For the nine months ended September 30, 2023 and 2022</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val="false"/>
          <w:i/>
          <w:color w:val="000000"/>
          <w:sz w:val="20"/>
        </w:rPr>
        <w:t>Revenue by Source</w:t>
      </w:r>
      <w:r>
        <w:rPr>
          <w:rFonts w:ascii="Times New Roman" w:hAnsi="Times New Roman"/>
          <w:color w:val="000000"/>
          <w:sz w:val="20"/>
        </w:rPr>
        <w:t xml:space="preserve"> </w:t>
      </w:r>
    </w:p>
    <w:p>
      <w:pPr>
        <w:pStyle w:val="TextBody"/>
        <w:bidi w:val="0"/>
        <w:jc w:val="both"/>
        <w:rPr/>
      </w:pPr>
      <w:r>
        <w:rPr/>
        <w:t> </w:t>
      </w:r>
    </w:p>
    <w:tbl>
      <w:tblPr>
        <w:tblW w:w="7842"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931"/>
        <w:gridCol w:w="241"/>
        <w:gridCol w:w="146"/>
        <w:gridCol w:w="211"/>
        <w:gridCol w:w="841"/>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9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515,986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492,524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23,462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4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78,873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213,976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(135,103</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(63</w:t>
            </w:r>
          </w:p>
        </w:tc>
        <w:tc>
          <w:tcPr>
            <w:tcW w:w="4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96,260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661,791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(565,531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691,119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1,368,291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(677,172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Overall revenue decreased $677.2 million, or 49%, in the nine months ended September 30, 2023 compared to the nine months ended September 30, 2022.</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Marketplace revenue increased $23.5 million, or 5%, in the nine months ended September 30, 2023 compared to the nine months ended September 30, 2022 and represented 75% of total revenue for the nine months ended September 30, 2023 compared to 36% of total revenue for the nine months ended September 30, 2022. The increase was due primarily to a $19.8 million increase in Listings revenue, as a result of growth in our QARSD throughout the year. The increase in QARSD was due primarily to signing on new dealers with higher average monthly recurring revenue and revenue expansion through product upgrades for existing dealers. The increase in marketplace revenue was also due in part to a $10.1 million increase in Digital Retail revenue due to growth in Digital Deal product offering as it was launched in the second quarter of 2022. The increase in marketplace revenue was offset in part by a $5.1 million decrease in advertising revenue as a result of lower spend by our advertisers and economic conditions and a $1.3 million decrease in consumer financing.</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Wholesale revenue decreased $135.1 million, or 63%, in the nine months ended September 30, 2023 compared to the nine months ended September 30, 2022 and represented 11% of total revenue for the nine months ended September 30, 2023 compared to 16% of total revenue for the nine months ended September 30, 2022. The decrease was due primarily to a 70% decrease in Transactions, which includes Dealer-to-Dealer transactions and IMCO transactions, to 51,860 for the nine months ended September 30, 2023 from 172,189 for the nine months ended September 30, 2022, as a result of operational challenges in the prior year which resulted in our focus in the current year on optimization of internal policies and procedures over volume of Transactions. The decrease in Transactions resulted in a decrease in transaction fee revenue as well as a decrease in transportation revenue, inspection revenue, and guarantee revenue.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Product revenue decreased by $565.5 million, or 85%, in the nine months ended September 30, 2023 compared to the nine months ended September 30, 2022 and represented 14% of total revenue for the nine months ended September 30, 2023 compared to 48% of total revenue for the nine months ended September 30, 2022. The decrease was due primarily to a $482.9 million decrease in proceeds received from the sale of vehicles through IMCO transactions, including vehicle sale price and transaction fees, as a result of decreased Transactions resulting from the purposeful slowdown in volume as we emphasize operational rigor, as well as a decrease in the average selling price. The decrease in product revenue was also due in part to a $82.6 million decrease in proceeds received from the sale of vehicles acquired through arbitration, including vehicle sale price, as a result of decreased arbitration claims primarily due to decreased Transactions and process improvements focused on higher quality inspections.</w:t>
      </w:r>
    </w:p>
    <w:p>
      <w:pPr>
        <w:pStyle w:val="TextBody"/>
        <w:bidi w:val="0"/>
        <w:spacing w:before="240" w:after="283"/>
        <w:jc w:val="both"/>
        <w:rPr>
          <w:rFonts w:ascii="Calibri;sans-serif" w:hAnsi="Calibri;sans-serif"/>
          <w:b w:val="false"/>
          <w:i/>
          <w:color w:val="000000"/>
          <w:sz w:val="20"/>
        </w:rPr>
      </w:pPr>
      <w:r>
        <w:rPr>
          <w:rFonts w:ascii="Calibri;sans-serif" w:hAnsi="Calibri;sans-serif"/>
          <w:b w:val="false"/>
          <w:i/>
          <w:color w:val="000000"/>
          <w:sz w:val="20"/>
        </w:rPr>
        <w:t>Segment Revenue</w:t>
      </w:r>
    </w:p>
    <w:p>
      <w:pPr>
        <w:pStyle w:val="TextBody"/>
        <w:bidi w:val="0"/>
        <w:jc w:val="both"/>
        <w:rPr/>
      </w:pPr>
      <w:r>
        <w:rPr/>
        <w:t> </w:t>
      </w:r>
    </w:p>
    <w:tbl>
      <w:tblPr>
        <w:tblW w:w="7822"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931"/>
        <w:gridCol w:w="241"/>
        <w:gridCol w:w="146"/>
        <w:gridCol w:w="211"/>
        <w:gridCol w:w="841"/>
        <w:gridCol w:w="166"/>
        <w:gridCol w:w="146"/>
        <w:gridCol w:w="146"/>
        <w:gridCol w:w="376"/>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9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478,387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459,044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3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175,133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875,767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(700,634</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(80</w:t>
            </w:r>
          </w:p>
        </w:tc>
        <w:tc>
          <w:tcPr>
            <w:tcW w:w="3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37,599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33,480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691,119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1,368,291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(677,172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69</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34</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U.S. Marketplace segment revenue increased $19.3 million, or 4%, in the nine months ended September 30, 2023 compared to the nine months ended September 30, 2022 and represented 69% of total revenue for the nine months ended September 30, 2023 compared to 34% of total revenue for the nine months ended September 30, 2022. The increase was due primarily to a $23.5 million increase in marketplace revenue, as described above.</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Digital Wholesale segment revenue, which is comprised of wholesale revenue and product revenue, decreased $700.6 million, or 80%, in the nine months ended September 30, 2023 compared to the nine months ended September 30, 2022 and represented 25% of total revenue for the nine months ended September 30, 2023 compared to 64% of total revenue for the nine months ended September 30, 2022. The decrease in Digital Wholesale segment revenue was due to a decrease in wholesale revenue and product revenue, as described above.</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Cost of Revenue</w:t>
      </w:r>
    </w:p>
    <w:p>
      <w:pPr>
        <w:pStyle w:val="TextBody"/>
        <w:bidi w:val="0"/>
        <w:jc w:val="left"/>
        <w:rPr/>
      </w:pPr>
      <w:r>
        <w:rPr/>
        <w:t> </w:t>
      </w:r>
    </w:p>
    <w:tbl>
      <w:tblPr>
        <w:tblW w:w="8092" w:type="dxa"/>
        <w:jc w:val="left"/>
        <w:tblInd w:w="0" w:type="dxa"/>
        <w:tblLayout w:type="fixed"/>
        <w:tblCellMar>
          <w:top w:w="28" w:type="dxa"/>
          <w:left w:w="28" w:type="dxa"/>
          <w:bottom w:w="28" w:type="dxa"/>
          <w:right w:w="28" w:type="dxa"/>
        </w:tblCellMar>
      </w:tblPr>
      <w:tblGrid>
        <w:gridCol w:w="2691"/>
        <w:gridCol w:w="346"/>
        <w:gridCol w:w="211"/>
        <w:gridCol w:w="781"/>
        <w:gridCol w:w="241"/>
        <w:gridCol w:w="146"/>
        <w:gridCol w:w="211"/>
        <w:gridCol w:w="781"/>
        <w:gridCol w:w="241"/>
        <w:gridCol w:w="146"/>
        <w:gridCol w:w="211"/>
        <w:gridCol w:w="841"/>
        <w:gridCol w:w="166"/>
        <w:gridCol w:w="146"/>
        <w:gridCol w:w="146"/>
        <w:gridCol w:w="376"/>
        <w:gridCol w:w="411"/>
      </w:tblGrid>
      <w:tr>
        <w:trPr/>
        <w:tc>
          <w:tcPr>
            <w:tcW w:w="2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464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6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Cost of Revenue:</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Marketplace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45,830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40,422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w:t>
            </w:r>
          </w:p>
        </w:tc>
        <w:tc>
          <w:tcPr>
            <w:tcW w:w="4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Wholesale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67,780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146,489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(78,709</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4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Product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94,090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660,869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(566,779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207,700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847,780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(640,080</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(76</w:t>
            </w:r>
          </w:p>
        </w:tc>
        <w:tc>
          <w:tcPr>
            <w:tcW w:w="4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b/>
                <w:color w:val="000000"/>
                <w:sz w:val="20"/>
              </w:rPr>
            </w:pPr>
            <w:r>
              <w:rPr>
                <w:rFonts w:ascii="Calibri;sans-serif" w:hAnsi="Calibri;sans-serif"/>
                <w:b/>
                <w:color w:val="000000"/>
                <w:sz w:val="20"/>
              </w:rPr>
              <w:t>Percentage of total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Marketplace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Wholesale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b w:val="false"/>
                <w:color w:val="000000"/>
                <w:sz w:val="20"/>
              </w:rPr>
            </w:pPr>
            <w:r>
              <w:rPr>
                <w:rFonts w:ascii="Calibri;sans-serif" w:hAnsi="Calibri;sans-serif"/>
                <w:b w:val="false"/>
                <w:color w:val="000000"/>
                <w:sz w:val="20"/>
              </w:rPr>
              <w:t>Product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Overall cost of revenue decreased $640.1 million, or 76%, in the nine months ended September 30, 2023 compared to the nine months ended September 30, 2022.</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Marketplace cost of revenue increased $5.4 million, or 13%, in the nine months ended September 30, 2023 compared to the nine months ended September 30, 2022 and represented 7% of total revenue for the nine months ended September 30, 2023 compared to 3% of total revenue for the nine months ended September 30, 2022. The increase was due primarily to a $2.8 million increase in data and hosting costs as a result of our migration onto a cloud-based hosting platform and a $2.1 million increase in fees related to provisioning advertising campaigns on our websites from changing to more effective, higher cost service providers.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Wholesale cost of revenue decreased $78.7 million, or 54%, in the nine months ended September 30, 2023 compared to the nine months ended September 30, 2022 and represented 10% of total revenue for the nine months ended September 30, 2023 compared to 11% of total revenue for the nine months ended September 30, 2022. The decrease was due primarily to process improvements implemented, resulting in a purposeful decrease in the volume of Dealer-to-Dealer transactions and IMCO transactions. This decrease in volume resulted in a decrease in transportation expense, inspection expense, third-party service provider expense, personnel expense, and guarantee expense.</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Product cost of revenue decreased $566.8 million, or 86%, in the nine months ended September 30, 2023 compared to the nine months ended September 30, 2022 and represented 14% of the total revenue for the nine months ended September 30, 2023 compared to 48% of total revenue for the nine months ended September 30, 2022. The decrease was due primarily to a $466.5 million decrease in expenses related to vehicles sold to dealers through IMCO transactions as a result of decreased Transactions resulting from the purposeful slowdown in volume as we emphasize operational rigor, as well as a decrease in the average selling price. The decrease in product cost of revenue was also due in part to a $100.2 million decrease in expenses related to vehicles sold to dealers acquired through arbitration as a result of decreased arbitration claims primarily due to decreased Transactions and process improvements focused on higher quality inspections.</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40" w:after="283"/>
        <w:jc w:val="both"/>
        <w:rPr>
          <w:rFonts w:ascii="Times New Roman" w:hAnsi="Times New Roman"/>
          <w:sz w:val="20"/>
        </w:rPr>
      </w:pPr>
      <w:r>
        <w:rPr>
          <w:rFonts w:ascii="Calibri;sans-serif" w:hAnsi="Calibri;sans-serif"/>
          <w:b w:val="false"/>
          <w:i/>
          <w:color w:val="000000"/>
          <w:sz w:val="20"/>
        </w:rPr>
        <w:t>Sales and Marketing Expense</w:t>
      </w:r>
      <w:r>
        <w:rPr>
          <w:rFonts w:ascii="Times New Roman" w:hAnsi="Times New Roman"/>
          <w:color w:val="000000"/>
          <w:sz w:val="20"/>
        </w:rPr>
        <w:t xml:space="preserve"> </w:t>
      </w:r>
    </w:p>
    <w:p>
      <w:pPr>
        <w:pStyle w:val="TextBody"/>
        <w:bidi w:val="0"/>
        <w:jc w:val="both"/>
        <w:rPr/>
      </w:pPr>
      <w:r>
        <w:rPr/>
        <w:t> </w:t>
      </w:r>
    </w:p>
    <w:tbl>
      <w:tblPr>
        <w:tblW w:w="7327" w:type="dxa"/>
        <w:jc w:val="left"/>
        <w:tblInd w:w="0" w:type="dxa"/>
        <w:tblLayout w:type="fixed"/>
        <w:tblCellMar>
          <w:top w:w="28" w:type="dxa"/>
          <w:left w:w="28" w:type="dxa"/>
          <w:bottom w:w="28" w:type="dxa"/>
          <w:right w:w="28" w:type="dxa"/>
        </w:tblCellMar>
      </w:tblPr>
      <w:tblGrid>
        <w:gridCol w:w="2296"/>
        <w:gridCol w:w="146"/>
        <w:gridCol w:w="211"/>
        <w:gridCol w:w="781"/>
        <w:gridCol w:w="241"/>
        <w:gridCol w:w="146"/>
        <w:gridCol w:w="211"/>
        <w:gridCol w:w="781"/>
        <w:gridCol w:w="241"/>
        <w:gridCol w:w="146"/>
        <w:gridCol w:w="211"/>
        <w:gridCol w:w="736"/>
        <w:gridCol w:w="166"/>
        <w:gridCol w:w="146"/>
        <w:gridCol w:w="146"/>
        <w:gridCol w:w="376"/>
        <w:gridCol w:w="34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3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230,243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266,505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(36,262</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34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33</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Sales and marketing expense decreased $36.3 million, or 14%, in the nine months ended September 30, 2023 compared to the nine months ended September 30, 2022. The decrease was due primarily to a $20.7 million decrease in advertising expenses due to decreased spend as a result of a change in advertising strategy implemented in the fourth quarter of 2022. The decrease was also due in part to a $14.2 million decrease in marketing expenses due primarily to a decrease in IMCO marketing and a $10.4 million decrease in commissions expense due primarily to decreased Transactions as well as a 6% decrease in headcount. The decrease in commissions expense was also due in part to increased capitalization on commissions. The decrease in sales and marketing expense was offset in part by a $4.9 million increase in rent expense due to the commencement of the 1001 Boylston Street lease. The decrease in sales and marketing expense was also offset by a $2.3 million increase in salaries and employee-related expense, exclusive of stock-based compensation expense and commissions expenses, due to headcount fluctuations throughout the period, a $0.7 million increase in employee expenses associated with the return to office, and a $0.6 million increase in stock-based compensation expense primarily due to new grants awarded in the current year, offset in part by a decrease in the valuation of the liability-based stock awards, following mark to market valuation adjustments.</w:t>
      </w:r>
    </w:p>
    <w:p>
      <w:pPr>
        <w:pStyle w:val="TextBody"/>
        <w:bidi w:val="0"/>
        <w:spacing w:before="240" w:after="283"/>
        <w:jc w:val="both"/>
        <w:rPr>
          <w:rFonts w:ascii="Times New Roman" w:hAnsi="Times New Roman"/>
          <w:sz w:val="20"/>
        </w:rPr>
      </w:pPr>
      <w:r>
        <w:rPr>
          <w:rFonts w:ascii="Calibri;sans-serif" w:hAnsi="Calibri;sans-serif"/>
          <w:b w:val="false"/>
          <w:i/>
          <w:color w:val="000000"/>
          <w:sz w:val="20"/>
        </w:rPr>
        <w:t>Product, Technology, and Development Expense</w:t>
      </w:r>
      <w:r>
        <w:rPr>
          <w:rFonts w:ascii="Times New Roman" w:hAnsi="Times New Roman"/>
          <w:color w:val="000000"/>
          <w:sz w:val="20"/>
        </w:rPr>
        <w:t xml:space="preserve"> </w:t>
      </w:r>
    </w:p>
    <w:p>
      <w:pPr>
        <w:pStyle w:val="TextBody"/>
        <w:bidi w:val="0"/>
        <w:jc w:val="both"/>
        <w:rPr/>
      </w:pPr>
      <w:r>
        <w:rPr/>
        <w:t> </w:t>
      </w:r>
    </w:p>
    <w:tbl>
      <w:tblPr>
        <w:tblW w:w="7907" w:type="dxa"/>
        <w:jc w:val="left"/>
        <w:tblInd w:w="0" w:type="dxa"/>
        <w:tblLayout w:type="fixed"/>
        <w:tblCellMar>
          <w:top w:w="28" w:type="dxa"/>
          <w:left w:w="28" w:type="dxa"/>
          <w:bottom w:w="28" w:type="dxa"/>
          <w:right w:w="28" w:type="dxa"/>
        </w:tblCellMar>
      </w:tblPr>
      <w:tblGrid>
        <w:gridCol w:w="3181"/>
        <w:gridCol w:w="146"/>
        <w:gridCol w:w="211"/>
        <w:gridCol w:w="781"/>
        <w:gridCol w:w="241"/>
        <w:gridCol w:w="146"/>
        <w:gridCol w:w="211"/>
        <w:gridCol w:w="676"/>
        <w:gridCol w:w="241"/>
        <w:gridCol w:w="146"/>
        <w:gridCol w:w="211"/>
        <w:gridCol w:w="676"/>
        <w:gridCol w:w="146"/>
        <w:gridCol w:w="146"/>
        <w:gridCol w:w="146"/>
        <w:gridCol w:w="316"/>
        <w:gridCol w:w="28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9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Product, technology,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109,432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92,215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17,217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19</w:t>
            </w:r>
          </w:p>
        </w:tc>
        <w:tc>
          <w:tcPr>
            <w:tcW w:w="2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18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Product, technology, and development expense increased $17.2 million, or 19%, in the nine months ended September 30, 2023 compared to the nine months ended September 30, 2022. The increase was due primarily to a $11.7 million increase in salaries and employee-related expenses, exclusive of stock-based compensation, due primarily to an 8% increase in headcount as well as merit increases. The increase in was also due in part to a $4.3 million increase in rent expense due to the commencement of the 1001 Boylston Street lease and a $1.3 million increase in stock-based compensation, due to new grants awarded in the current year.</w:t>
      </w:r>
    </w:p>
    <w:p>
      <w:pPr>
        <w:pStyle w:val="TextBody"/>
        <w:bidi w:val="0"/>
        <w:spacing w:before="240" w:after="283"/>
        <w:jc w:val="both"/>
        <w:rPr>
          <w:rFonts w:ascii="Times New Roman" w:hAnsi="Times New Roman"/>
          <w:sz w:val="20"/>
        </w:rPr>
      </w:pPr>
      <w:r>
        <w:rPr>
          <w:rFonts w:ascii="Calibri;sans-serif" w:hAnsi="Calibri;sans-serif"/>
          <w:b w:val="false"/>
          <w:i/>
          <w:color w:val="000000"/>
          <w:sz w:val="20"/>
        </w:rPr>
        <w:t>General and Administrative Expense</w:t>
      </w:r>
      <w:r>
        <w:rPr>
          <w:rFonts w:ascii="Times New Roman" w:hAnsi="Times New Roman"/>
          <w:color w:val="000000"/>
          <w:sz w:val="20"/>
        </w:rPr>
        <w:t xml:space="preserve"> </w:t>
      </w:r>
    </w:p>
    <w:p>
      <w:pPr>
        <w:pStyle w:val="TextBody"/>
        <w:bidi w:val="0"/>
        <w:jc w:val="both"/>
        <w:rPr/>
      </w:pPr>
      <w:r>
        <w:rPr/>
        <w:t> </w:t>
      </w:r>
    </w:p>
    <w:tbl>
      <w:tblPr>
        <w:tblW w:w="6707"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571"/>
        <w:gridCol w:w="146"/>
        <w:gridCol w:w="146"/>
        <w:gridCol w:w="146"/>
        <w:gridCol w:w="211"/>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7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77,090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71,395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General and administrative expense increased $5.7 million, or 8%, in the nine months ended September 30, 2023 compared to the nine months ended September 30, 2022. The increase was due primarily to a $4.9 million increase in salaries and employee-related expenses, exclusive of stock-based compensation, due primarily to a 6% increase in headcount as well as merit increases. This increase was also due in part to a $2.5 million increase in audit, legal, and insurance fees, a $1.9 million increase in rent expense due to the commencement of the 1001 Boylston Street lease, a $1.0 million increase in recruiting and consulting expense, and a $0.8 million increase in payment processing and billing. The increase in general and administrative expense was offset in part by a $5.5 million decrease in stock-based compensation primarily due to a decrease in the valuation of the liability-based stock awards, following mark to market valuation adjustments.</w:t>
      </w:r>
    </w:p>
    <w:p>
      <w:pPr>
        <w:pStyle w:val="TextBody"/>
        <w:bidi w:val="0"/>
        <w:spacing w:before="240" w:after="283"/>
        <w:jc w:val="both"/>
        <w:rPr>
          <w:rFonts w:ascii="Times New Roman" w:hAnsi="Times New Roman"/>
          <w:sz w:val="20"/>
        </w:rPr>
      </w:pPr>
      <w:r>
        <w:rPr>
          <w:rFonts w:ascii="Calibri;sans-serif" w:hAnsi="Calibri;sans-serif"/>
          <w:b w:val="false"/>
          <w:i/>
          <w:color w:val="000000"/>
          <w:sz w:val="20"/>
        </w:rPr>
        <w:t>Depreciation and Amortization Expense</w:t>
      </w:r>
      <w:r>
        <w:rPr>
          <w:rFonts w:ascii="Times New Roman" w:hAnsi="Times New Roman"/>
          <w:color w:val="000000"/>
          <w:sz w:val="20"/>
        </w:rPr>
        <w:t xml:space="preserve"> </w:t>
      </w:r>
    </w:p>
    <w:p>
      <w:pPr>
        <w:pStyle w:val="TextBody"/>
        <w:bidi w:val="0"/>
        <w:jc w:val="both"/>
        <w:rPr/>
      </w:pPr>
      <w:r>
        <w:rPr/>
        <w:t> </w:t>
      </w:r>
    </w:p>
    <w:tbl>
      <w:tblPr>
        <w:tblW w:w="6826" w:type="dxa"/>
        <w:jc w:val="left"/>
        <w:tblInd w:w="0" w:type="dxa"/>
        <w:tblLayout w:type="fixed"/>
        <w:tblCellMar>
          <w:top w:w="28" w:type="dxa"/>
          <w:left w:w="28" w:type="dxa"/>
          <w:bottom w:w="28" w:type="dxa"/>
          <w:right w:w="28" w:type="dxa"/>
        </w:tblCellMar>
      </w:tblPr>
      <w:tblGrid>
        <w:gridCol w:w="2521"/>
        <w:gridCol w:w="146"/>
        <w:gridCol w:w="211"/>
        <w:gridCol w:w="676"/>
        <w:gridCol w:w="241"/>
        <w:gridCol w:w="146"/>
        <w:gridCol w:w="211"/>
        <w:gridCol w:w="676"/>
        <w:gridCol w:w="241"/>
        <w:gridCol w:w="146"/>
        <w:gridCol w:w="225"/>
        <w:gridCol w:w="451"/>
        <w:gridCol w:w="146"/>
        <w:gridCol w:w="146"/>
        <w:gridCol w:w="146"/>
        <w:gridCol w:w="211"/>
        <w:gridCol w:w="28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73"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11,762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11,539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5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52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Depreciation and amortization expenses remained relatively consistent in the nine months ended September 30, 2023 compared to the nine months ended September 30, 2022.</w:t>
      </w:r>
    </w:p>
    <w:p>
      <w:pPr>
        <w:pStyle w:val="TextBody"/>
        <w:bidi w:val="0"/>
        <w:spacing w:before="240" w:after="283"/>
        <w:jc w:val="both"/>
        <w:rPr>
          <w:rFonts w:ascii="Times New Roman" w:hAnsi="Times New Roman"/>
          <w:sz w:val="20"/>
        </w:rPr>
      </w:pPr>
      <w:r>
        <w:rPr>
          <w:rFonts w:ascii="Calibri;sans-serif" w:hAnsi="Calibri;sans-serif"/>
          <w:b/>
          <w:i/>
          <w:color w:val="000000"/>
          <w:sz w:val="20"/>
        </w:rPr>
        <w:t>Other Income (Expense), Net</w:t>
      </w:r>
      <w:r>
        <w:rPr>
          <w:rFonts w:ascii="Times New Roman" w:hAnsi="Times New Roman"/>
          <w:color w:val="000000"/>
          <w:sz w:val="20"/>
        </w:rPr>
        <w:t xml:space="preserve"> </w:t>
      </w:r>
    </w:p>
    <w:p>
      <w:pPr>
        <w:pStyle w:val="TextBody"/>
        <w:bidi w:val="0"/>
        <w:jc w:val="both"/>
        <w:rPr/>
      </w:pPr>
      <w:r>
        <w:rPr/>
        <w:t> </w:t>
      </w:r>
    </w:p>
    <w:tbl>
      <w:tblPr>
        <w:tblW w:w="8062" w:type="dxa"/>
        <w:jc w:val="left"/>
        <w:tblInd w:w="0" w:type="dxa"/>
        <w:tblLayout w:type="fixed"/>
        <w:tblCellMar>
          <w:top w:w="28" w:type="dxa"/>
          <w:left w:w="28" w:type="dxa"/>
          <w:bottom w:w="28" w:type="dxa"/>
          <w:right w:w="28" w:type="dxa"/>
        </w:tblCellMar>
      </w:tblPr>
      <w:tblGrid>
        <w:gridCol w:w="2961"/>
        <w:gridCol w:w="146"/>
        <w:gridCol w:w="211"/>
        <w:gridCol w:w="676"/>
        <w:gridCol w:w="241"/>
        <w:gridCol w:w="146"/>
        <w:gridCol w:w="211"/>
        <w:gridCol w:w="631"/>
        <w:gridCol w:w="301"/>
        <w:gridCol w:w="146"/>
        <w:gridCol w:w="211"/>
        <w:gridCol w:w="676"/>
        <w:gridCol w:w="146"/>
        <w:gridCol w:w="146"/>
        <w:gridCol w:w="146"/>
        <w:gridCol w:w="676"/>
        <w:gridCol w:w="39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296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96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13,337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1,506</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786</w:t>
            </w:r>
          </w:p>
        </w:tc>
        <w:tc>
          <w:tcPr>
            <w:tcW w:w="3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96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(1,581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13,185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17,680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96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96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30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96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Total other income (expense), net increased $13.3 million, or 17,680%, in the nine months ended September 30, 2023 compared to the nine months ended September 30, 2022. The $11.8 million increase in interest income was due primarily to interest rate increases since September 30, 2022, as well as an increase related to new interest-bearing accounts. The $1.4 million increase in other expense, net was due primarily to a $2.2 million decrease in realized and unrealized loss associated with the fluctuation of certain foreign currencies offset in part by an increase in interest expense.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Provision for Income Taxes</w:t>
      </w:r>
      <w:r>
        <w:rPr>
          <w:rFonts w:ascii="Times New Roman" w:hAnsi="Times New Roman"/>
          <w:color w:val="000000"/>
          <w:sz w:val="20"/>
        </w:rPr>
        <w:t xml:space="preserve"> </w:t>
      </w:r>
    </w:p>
    <w:p>
      <w:pPr>
        <w:pStyle w:val="TextBody"/>
        <w:bidi w:val="0"/>
        <w:jc w:val="both"/>
        <w:rPr/>
      </w:pPr>
      <w:r>
        <w:rPr/>
        <w:t> </w:t>
      </w:r>
    </w:p>
    <w:tbl>
      <w:tblPr>
        <w:tblW w:w="6601"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25"/>
        <w:gridCol w:w="451"/>
        <w:gridCol w:w="146"/>
        <w:gridCol w:w="146"/>
        <w:gridCol w:w="146"/>
        <w:gridCol w:w="211"/>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73"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23,421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23,059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5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8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Provision for income taxes increased $0.4 million, or 2%, in the nine months ended September 30, 2023 compared to the nine months ended September 30, 2022, primarily due to higher aggregated $4.5 million shortfalls on the taxable compensation of stock-based awards and the Section 162(m) excess officer compensation limitation recorded during the nine months ended September 30, 2023 compared to $3.1 million tax expense related to shortfalls on the taxable compensation of stock-based awards and the Section 162(m) excess officer compensation limitation recorded during the nine months ended September 30, 2022.</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Segment Income (Loss) from Operations</w:t>
      </w:r>
    </w:p>
    <w:p>
      <w:pPr>
        <w:pStyle w:val="TextBody"/>
        <w:bidi w:val="0"/>
        <w:jc w:val="both"/>
        <w:rPr/>
      </w:pPr>
      <w:r>
        <w:rPr/>
        <w:t> </w:t>
      </w:r>
    </w:p>
    <w:tbl>
      <w:tblPr>
        <w:tblW w:w="8437" w:type="dxa"/>
        <w:jc w:val="left"/>
        <w:tblInd w:w="0" w:type="dxa"/>
        <w:tblLayout w:type="fixed"/>
        <w:tblCellMar>
          <w:top w:w="28" w:type="dxa"/>
          <w:left w:w="28" w:type="dxa"/>
          <w:bottom w:w="28" w:type="dxa"/>
          <w:right w:w="28" w:type="dxa"/>
        </w:tblCellMar>
      </w:tblPr>
      <w:tblGrid>
        <w:gridCol w:w="3406"/>
        <w:gridCol w:w="146"/>
        <w:gridCol w:w="211"/>
        <w:gridCol w:w="736"/>
        <w:gridCol w:w="241"/>
        <w:gridCol w:w="146"/>
        <w:gridCol w:w="211"/>
        <w:gridCol w:w="676"/>
        <w:gridCol w:w="241"/>
        <w:gridCol w:w="146"/>
        <w:gridCol w:w="211"/>
        <w:gridCol w:w="736"/>
        <w:gridCol w:w="166"/>
        <w:gridCol w:w="146"/>
        <w:gridCol w:w="146"/>
        <w:gridCol w:w="481"/>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9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0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84,443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92,842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(8,399</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w:t>
            </w:r>
          </w:p>
        </w:tc>
        <w:tc>
          <w:tcPr>
            <w:tcW w:w="39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0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(29,184</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(8,348</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(20,836</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(250</w:t>
            </w:r>
          </w:p>
        </w:tc>
        <w:tc>
          <w:tcPr>
            <w:tcW w:w="39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0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(367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(5,637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54,892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78,857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(23,965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340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segment revenue: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0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20</w:t>
            </w:r>
          </w:p>
        </w:tc>
        <w:tc>
          <w:tcPr>
            <w:tcW w:w="24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0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0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Calibri;sans-serif" w:hAnsi="Calibri;sans-serif"/>
                <w:b w:val="false"/>
                <w:color w:val="000000"/>
                <w:sz w:val="20"/>
              </w:rPr>
            </w:pP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U.S. Marketplace segment income from operations decreased $8.4 million, or 9%, in the nine months ended September 30, 2023 compared to the nine months ended September 30, 2022 and represented 18% of U.S. Marketplace segment revenue for the nine months ended September 30, 2023 and 20% of U.S. Marketplace segment revenue for the nine months ended September 30, 2022. The decrease was due to increases in revenue of $19.3 million, offset by increases in cost of revenue of $4.6 million and increases in operating expenses of $23.1 million.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Digital Wholesale segment loss from operations decreased $20.8 million, or 250%, in the nine months ended September 30, 2023 compared to the nine months ended September 30, 2022 and represented (17)% of Digital Wholesale segment revenue for the nine months ended September 30, 2023 and (1)% of Digital Wholesale segment revenue for the nine months ended September 30, 2022. The decrease in the loss was due to decreases in revenue of $700.6 million, offset by decreases in cost of revenue of $645.5 million and decreases in operating expenses of $34.3 million.</w:t>
      </w:r>
    </w:p>
    <w:p>
      <w:pPr>
        <w:pStyle w:val="TextBody"/>
        <w:bidi w:val="0"/>
        <w:spacing w:before="240" w:after="283"/>
        <w:jc w:val="both"/>
        <w:rPr>
          <w:rFonts w:ascii="Times New Roman" w:hAnsi="Times New Roman"/>
          <w:sz w:val="20"/>
        </w:rPr>
      </w:pPr>
      <w:r>
        <w:rPr>
          <w:rFonts w:ascii="Calibri;sans-serif" w:hAnsi="Calibri;sans-serif"/>
          <w:b/>
          <w:color w:val="000000"/>
          <w:sz w:val="20"/>
        </w:rPr>
        <w:t>Liquidity and Capital Resources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Cash, Cash Equivalents, Short-term Investments, and Borrowing Capacity</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of September 30, 2023, our principal sources of liquidity were cash and cash equivalents of $355.3 million and short-term investments of $91.8 million. As of December 31, 2022, our principal sources of liquidity were cash and cash equivalents of $469.5 million. As of September 30, 2023, our borrowing capacity under the 2022 Revolver (as defined below) was $399.3 million.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Sources and Uses of Cash</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During the nine months ended September 30, 2023 and 2022, our cash flows from operating, investing, and financing activities, as reflected in the Unaudited Condensed Consolidated Statements of Cash Flows, were as follows:</w:t>
      </w:r>
      <w:r>
        <w:rPr>
          <w:rFonts w:ascii="Times New Roman" w:hAnsi="Times New Roman"/>
          <w:color w:val="000000"/>
          <w:sz w:val="20"/>
        </w:rPr>
        <w:t xml:space="preserve"> </w:t>
      </w:r>
    </w:p>
    <w:p>
      <w:pPr>
        <w:pStyle w:val="TextBody"/>
        <w:bidi w:val="0"/>
        <w:jc w:val="both"/>
        <w:rPr/>
      </w:pPr>
      <w:r>
        <w:rPr/>
        <w:t> </w:t>
      </w:r>
    </w:p>
    <w:tbl>
      <w:tblPr>
        <w:tblW w:w="8189" w:type="dxa"/>
        <w:jc w:val="left"/>
        <w:tblInd w:w="0" w:type="dxa"/>
        <w:tblLayout w:type="fixed"/>
        <w:tblCellMar>
          <w:top w:w="28" w:type="dxa"/>
          <w:left w:w="28" w:type="dxa"/>
          <w:bottom w:w="28" w:type="dxa"/>
          <w:right w:w="28" w:type="dxa"/>
        </w:tblCellMar>
      </w:tblPr>
      <w:tblGrid>
        <w:gridCol w:w="5476"/>
        <w:gridCol w:w="146"/>
        <w:gridCol w:w="211"/>
        <w:gridCol w:w="841"/>
        <w:gridCol w:w="166"/>
        <w:gridCol w:w="146"/>
        <w:gridCol w:w="211"/>
        <w:gridCol w:w="781"/>
        <w:gridCol w:w="21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122,031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160,803</w:t>
            </w:r>
          </w:p>
        </w:tc>
        <w:tc>
          <w:tcPr>
            <w:tcW w:w="211" w:type="dxa"/>
            <w:tcBorders/>
            <w:shd w:fill="CFF0FC" w:val="clear"/>
            <w:vAlign w:val="center"/>
          </w:tcPr>
          <w:p>
            <w:pPr>
              <w:pStyle w:val="TableContents"/>
              <w:bidi w:val="0"/>
              <w:spacing w:before="0" w:after="283"/>
              <w:jc w:val="left"/>
              <w:rPr/>
            </w:pPr>
            <w:r>
              <w:rPr/>
              <w:t> </w:t>
            </w:r>
          </w:p>
        </w:tc>
      </w:tr>
      <w:tr>
        <w:trPr/>
        <w:tc>
          <w:tcPr>
            <w:tcW w:w="547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(115,017</w:t>
            </w:r>
          </w:p>
        </w:tc>
        <w:tc>
          <w:tcPr>
            <w:tcW w:w="16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77,557</w:t>
            </w:r>
          </w:p>
        </w:tc>
        <w:tc>
          <w:tcPr>
            <w:tcW w:w="211" w:type="dxa"/>
            <w:tcBorders/>
            <w:shd w:fill="FFFFFF" w:val="clear"/>
            <w:vAlign w:val="center"/>
          </w:tcPr>
          <w:p>
            <w:pPr>
              <w:pStyle w:val="TableContents"/>
              <w:bidi w:val="0"/>
              <w:spacing w:before="0" w:after="283"/>
              <w:jc w:val="left"/>
              <w:rPr/>
            </w:pPr>
            <w:r>
              <w:rPr/>
              <w:t> </w:t>
            </w:r>
          </w:p>
        </w:tc>
      </w:tr>
      <w:tr>
        <w:trPr/>
        <w:tc>
          <w:tcPr>
            <w:tcW w:w="547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(123,686</w:t>
            </w:r>
          </w:p>
        </w:tc>
        <w:tc>
          <w:tcPr>
            <w:tcW w:w="16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(57,689</w:t>
            </w:r>
          </w:p>
        </w:tc>
        <w:tc>
          <w:tcPr>
            <w:tcW w:w="211"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5476" w:type="dxa"/>
            <w:tcBorders/>
            <w:shd w:fill="FFFFFF"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Impact of foreign currency on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(1,640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r>
      <w:tr>
        <w:trPr/>
        <w:tc>
          <w:tcPr>
            <w:tcW w:w="5476" w:type="dxa"/>
            <w:tcBorders/>
            <w:shd w:fill="CFF0FC" w:val="cle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(117,178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179,031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Our operations have been financed primarily from operating activities. During the nine months ended September 30, 2023 and 2022, we generated cash from operating activities of $122.0 million and $160.8 million, respectively.</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We believe that our existing sources of liquidity, including access to the 2022 Revolver, will be sufficient to fund our operations for at least the next 12 months from the date of the filing of this Quarterly Report.</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Our future capital requirements will depend on many factors, including, but not limited to: our revenue; expenses associated with our sales and marketing activities and the support of our product, technology, and development efforts; expenses associated with our facilities build-out under our 1001 Boylston Street lease in excess of tenant allowance; payments received in advance from a third-party transaction processor; activity under the Share Repurchase Program (as defined below); and our investments in international markets. In connection with the 1001 Boylston Street lease, we expect to spend approximately $69.8 million, net of tenant reimbursements. As of September 30, 2023, we have incurred $13.9 million in expenses, of which $13.7 million was capitalized. As of September 30, 2023, we have signed $3.2 million in contract commitments, which have not yet been incurred. On October 4, 2023, we signed a contract commitment for $64.7 million related to the 1001 Boylston Street lease.</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Our long-term future capital requirements will depend on many factors, including the future cash requirements described above, as well as the potential exercise of a call right to acquire all, and not less than all, of the remaining equity interests in CarOffer and the representative of the holders of the remaining equity will have a put right to sell to us all, and not less than all, of the remaining equity interests of CarOffer. Details of this acquisition are more fully described in Note 2 to our consolidated financial statements contained within our Annual Report. On November 6, 2023, we signed the Purchase Agreement for the CarOffer Transaction. See Note 13 of the Unaudited Condensed Consolidated Financial Statements included elsewhere in this Quarterly Report for additional information. Cash from operations could also be affected by various risks and uncertainties, including, but not limited to, macroeconomic effects and other risks detailed in the “Risk Factors” section of this Quarterly Report.</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The borrowing capacity under the Credit Agreement may be increased in accordance with the terms and subject to the adjustments as set forth in the Credit Agreement. Specifically,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September 30, 2023, there were no borrowings and $0.7 million in letters of credit outstanding, which reduces the borrowing capacity under the 2022 Revolver to $399.3 million. As of December 31, 2022, there were no borrowings and no letters of credit outstanding under the 2022 Revolver.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On December 8, 2022, we announced that our Board of Directors authorized a share repurchase program, or the Share Repurchase Program, pursuant to which we may, from time to time, purchase shares of our Class A common stock for an aggregate purchase price not to exceed $250.0 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Share Repurchase Program does not obligate us to repurchase any minimum dollar amount or number of shares. The Share Repurchase Program has an expiration date of December 31, 2023, and prior to its expiration may be modified, suspended, or discontinued by our Board of Directors at any time without prior notice. All repurchased shares under the Share Repurchase Program will be retired. We have funded share repurchases and expect to continue to fund any additional share repurchases through cash on hand and cash generated from operations. During the three months ended September 30, 2023, we repurchased and retired 956,248 shares for $17.1 million, exclusive of commissions and excise tax, at an average cost of $17.90 per share under the Share Repurchase Program. During the nine months ended September 30, 2023, we repurchased and retired 6,257,496 shares for $104.2 million, exclusive of commissions and excise tax, at an average cost of $16.66 per share under the Share Repurchase Program. As of September 30, 2023, we had remaining authorization to purchase up to $127.1 million of our Class A common stock under the Share Repurchase Program.</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On November 7, 2023, we announced that our Board of Directors authorized a share repurchase program, or the 2024 Share Repurchase Program, pursuant to which we may, from time to time, purchase shares of our Class A common stock for an aggregate purchase price not to exceed $250.0 million. Share repurchases under the 2024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2024 Share Repurchase Program does not obligate us to repurchase any minimum dollar amount or number of shares. The 2024 Share Repurchase Program has an effective date of January 1, 2024, and an expiration date of December 31, 2024, and prior to its expiration may be modified, suspended, or discontinued by our Board of Directors at any time without prior notice. All repurchased shares under the 2024 Share Repurchase Program will be retired. We expect to fund share repurchases under the 2024 Share Repurchase Program through cash on hand and cash generated from operations.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To the extent that our operating income, existing cash, cash equivalents, short-term investments, and our borrowing capacity under the 2022 Revolver are insufficient to fund our future activities, we may need to raise additional funds through a public or private equity or debt financing. Additional funds may not be available on terms favorable to us, or at all. See “</w:t>
      </w:r>
      <w:r>
        <w:rPr>
          <w:rFonts w:ascii="Calibri;sans-serif" w:hAnsi="Calibri;sans-serif"/>
          <w:b w:val="false"/>
          <w:i/>
          <w:color w:val="000000"/>
          <w:sz w:val="20"/>
        </w:rPr>
        <w:t xml:space="preserve">Risk Factors—Risks Related to Our Business and Industry— 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 </w:t>
      </w:r>
      <w:r>
        <w:rPr>
          <w:rFonts w:ascii="Calibri;sans-serif" w:hAnsi="Calibri;sans-serif"/>
          <w:b w:val="false"/>
          <w:color w:val="000000"/>
          <w:sz w:val="20"/>
        </w:rPr>
        <w:t>in Part II, Item 1A within this Quarterly Report.</w:t>
      </w:r>
    </w:p>
    <w:p>
      <w:pPr>
        <w:pStyle w:val="TextBody"/>
        <w:bidi w:val="0"/>
        <w:spacing w:before="240" w:after="283"/>
        <w:jc w:val="both"/>
        <w:rPr>
          <w:rFonts w:ascii="Times New Roman" w:hAnsi="Times New Roman"/>
          <w:sz w:val="20"/>
        </w:rPr>
      </w:pPr>
      <w:r>
        <w:rPr>
          <w:rFonts w:ascii="Calibri;sans-serif" w:hAnsi="Calibri;sans-serif"/>
          <w:b/>
          <w:i/>
          <w:color w:val="000000"/>
          <w:sz w:val="20"/>
        </w:rPr>
        <w:t>Operating Activities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Net cash provided by operating activities of $122.0 million during the nine months ended September 30, 2023 was due primarily to consolidated net income of $44.7 million, adjusted for $43.8 million of stock-based compensation expense for equity classified awards, $35.7 million of depreciation and amortization, and $8.6 million of amortization of deferred contract costs, partially offset by $32.1 million of deferred taxes. Net cash provided by operating activities was also attributable to a $12.0 million increase in lease obligations, a $8.8 million increase in deferred revenue, a $6.0 million decrease in prepaid expenses, prepaid income taxes, and other assets, a $5.0 million decrease in inventory, a $1.2 million increase in accounts payable, and a $1.0 million increase in accrued expenses, accrued income taxes, and other liabilities. The increases in cash flow from operations were partially offset by a $13.7 million increase in deferred contract costs.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Net cash provided by operating activities of $160.8 million during the nine months ended September 30, 2022 was due primarily to consolidated net income of $55.7 million, adjusted for $41.6 million of stock-based compensation expense for equity classified awards, $33.6 million of depreciation and amortization, $8.3 million of amortization of deferred contract costs, and $1.1 million of provision for doubtful accounts, partially offset by $30.7 million of deferred taxes. Cash provided by operating activities was also attributable to a $63.5 million decrease in accounts receivable, net, a $18.9 million increase in accrued expenses, accrued income taxes, and other liabilities, and a $1.3 million increase in accounts payable. The increases in cash flow from operations were partially offset by a $14.7 million increase in prepaid expenses, prepaid income taxes, and other assets, a $9.1 million increase in deferred contract costs, a $8.5 million increase in inventory, and a $0.9 million decrease in lease obligations.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Investing Activities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Net cash used in investing activities of $115.0 million during the nine months ended September 30, 2023 was due to $96.7 million in purchases of short-term investments, $11.8 million of capitalization of website development costs, $9.0 million of purchases of property and equipment, and $2.9 million in advance payments to customers, offset in part by $5.0 million of sales of short-term investments and $0.5 million in proceeds from the sale of property and equipment.</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Net cash provided by investing activities of $77.6 million during the nine months ended September 30, 2022 was due to $90.0 million in maturities of certificates of deposit, offset by $8.3 million of capitalization of website development costs and $4.2 million of purchases of property and equipment.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Financing Activities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Net cash used in financing activities of $123.7 million during the nine months ended September 30, 2023 was due primarily to $107.4 million of payment for the repurchase of our Class A common stock under the Share Repurchase Program, $11.7 million of payment of withholding taxes on net share settlements of restricted stock units, and $4.5 million of change in gross advance payments received from a third-party transaction processor.</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Net cash used in financing activities of $57.7 million during the nine months ended September 30, 2022 was due primarily to $21.8 million of payments made to a third-party payment processor, $19.8 million of payment of tax distributions to redeemable noncontrolling interest holders, $14.2 million of payment of withholding taxes on net share settlements of equity awards, and $2.6 million of payment of deferred financing costs, offset in part by $0.7 million of proceeds from the issuance of common stock related to the exercise of vested stock options.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Contractual Obligations and Known Future Cash Requirements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of September 30, 2023, there were no material changes in our contractual obligations and commitments from those disclosed in our Annual Report, other than those appearing in the notes to the Unaudited Condensed Consolidated Financial Statements appearing elsewhere in this Quarterly Report, which are hereby incorporated by reference.</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Seasonality</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Across the retail automotive industry, consumer purchases are typically greatest in the first three quarters of each year, due in part to the introduction of new vehicle models from manufacturers and the seasonal nature of consumer spending. Additionally, the volume of wholesale vehicle sales can fluctuate from quarter to quarter due to several factors, including the timing of used vehicles available for sale from selling customers, the seasonality of the retail market for used vehicles, and/or inventory challenges in the automotive industry, which affect the demand side of the wholesale industry.</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Macroeconomic conditions, such as slower growth or recession, higher interest rates, unemployment, consumer confidence in the economy, consumer debt levels, the ongoing military conflict between Russia and Ukraine, foreign currency exchange rate fluctuations, and other matters that influence consumer spending and preferences, can also impact the volume of wholesale vehicle sales, as was evidenced by the global semiconductor chip shortage.</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Digital Wholesale segment operating results have reflected the general seasonality of the wholesale vehicle sales market and macroeconomic conditions of the automotive industry. The U.S. Marketplace segment operating results have reflected the macroeconomic conditions of the automotive industry. However, to date, the U.S. Marketplace segment operating results have not been materially impacted by the general seasonality of the automotive industry. This could possibly change as our business and markets develop.</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a result, revenue and cost of revenue related to volume will fluctuate accordingly on a quarterly basis. Typical seasonality trends may not be observed in periods where other external factors more significantly impact the wholesale industry.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color w:val="000000"/>
          <w:sz w:val="20"/>
        </w:rPr>
        <w:t>Off-Balance Sheet Arrangements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of September 30, 2023 and December 31, 2022, we did not have any off-balance sheet arrangements, or material leases that are less than 12 months in duration, that have or are reasonably likely to have a current or future material effect on our financial condition, changes in financial condition, revenue or expenses, results of operations, liquidity, capital expenditures, or capital resources.</w:t>
      </w:r>
      <w:r>
        <w:rPr>
          <w:rFonts w:ascii="Times New Roman" w:hAnsi="Times New Roman"/>
          <w:color w:val="000000"/>
          <w:sz w:val="20"/>
        </w:rPr>
        <w:t xml:space="preserve">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Critical Accounting Estimates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Critical estimates relied upon in preparing the Unaudited Condensed Consolidated Financial Statements include the determination of sales allowance and variable consideration in our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our net deferred tax assets and related valuation allowance, the valuation of inventory, and the valuation of equity and liability-classified compensation awards. Accordingly, we consider these to be our critical accounting estimates and believe that of our significant accounting policies, these involve the greatest degree of judgment and complexity.</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For a detailed explanation of the judgments made in these areas, refer to Note 2 of our Unaudited Condensed Consolidated Financial Statements appearing elsewhere in this Quarterly Report and “Management’s Discussion and Analysis of Financial Condition and Results of Operations” in our Annual Report.</w:t>
      </w:r>
    </w:p>
    <w:p>
      <w:pPr>
        <w:pStyle w:val="TextBody"/>
        <w:bidi w:val="0"/>
        <w:spacing w:before="240" w:after="283"/>
        <w:jc w:val="both"/>
        <w:rPr>
          <w:rFonts w:ascii="Times New Roman" w:hAnsi="Times New Roman"/>
          <w:sz w:val="20"/>
        </w:rPr>
      </w:pPr>
      <w:r>
        <w:rPr>
          <w:rFonts w:ascii="Calibri;sans-serif" w:hAnsi="Calibri;sans-serif"/>
          <w:b/>
          <w:color w:val="000000"/>
          <w:sz w:val="20"/>
        </w:rPr>
        <w:t>Recently Issued Accounting Pronouncements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Information concerning recently issued accounting pronouncements may be found in Note 2 of our Unaudited Condensed Consolidated Financial Statements appearing elsewhere in this Quarterly Report.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2" w:name="item_3_quantitative_qualitative_disclosu"/>
      <w:bookmarkEnd w:id="12"/>
      <w:r>
        <w:rPr>
          <w:rFonts w:ascii="Calibri;sans-serif" w:hAnsi="Calibri;sans-serif"/>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Market risk represents the risk of loss that may affect our financial position due to adverse changes in financial market prices and rates. We are exposed to market risks as described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Interest Rate Risk</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of September 30, 2023, our exposure to market risk associated with changes in interest rates relates primarily to the 2022 Revolver, which allows us to borrow up to $400.0 million. The applicable interest rate is, at our option, based on a number of different benchmark rates and applicable spreads, as determined by the Consolidated Secured Net Leverage Ratio (as defined in Note 7 of our Unaudited Condensed Consolidated Financial Statements appearing elsewhere in this Quarterly Report). A fluctuation in interest rates does not have an impact on interest expense unless the 2022 Revolver is drawn upon. Such impact would also be dependent on the amount of the draw. As of September 30, 2023, there were no borrowings and $0.7 million in letters of credit outstanding, which reduces the borrowing capacity under the 2022 Revolver to $399.3 million.</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of September 30, 2023, we had cash, cash equivalents, and short-term investments of $447.2 million, which consisted of bank deposits, money market accounts, and mutual funds. As of December 31, 2022, we had cash and cash equivalents of $469.5 million, which consisted of bank deposits, money market accounts, and mutual funds.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Such interest-earning instruments carry a degree of interest rate risk.</w:t>
      </w:r>
      <w:r>
        <w:rPr>
          <w:rFonts w:ascii="Times New Roman" w:hAnsi="Times New Roman"/>
          <w:color w:val="000000"/>
          <w:sz w:val="20"/>
        </w:rPr>
        <w:t xml:space="preserve"> </w:t>
      </w:r>
      <w:r>
        <w:rPr>
          <w:rFonts w:ascii="Calibri;sans-serif" w:hAnsi="Calibri;sans-serif"/>
          <w:b w:val="false"/>
          <w:color w:val="000000"/>
          <w:sz w:val="20"/>
        </w:rPr>
        <w:t>Given recent changes in the interest rate environment and in an effort to ensure liquidity, we expect variable returns from our cash equivalents for the foreseeable future. To date, fluctuations resulting from changes in the interest rate environment in interest income have not been material to the operations of the business.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We do not enter into investments for trading or speculative purposes and have not used any derivative financial instruments to manage our interest rate risk exposure.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Inflation Risk</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 Additionally, inflationary pressures could negatively impact vehicle purchasing behavior, which could have an adverse impact on our financial results.</w:t>
      </w:r>
    </w:p>
    <w:p>
      <w:pPr>
        <w:pStyle w:val="TextBody"/>
        <w:bidi w:val="0"/>
        <w:spacing w:before="240" w:after="283"/>
        <w:jc w:val="both"/>
        <w:rPr>
          <w:rFonts w:ascii="Times New Roman" w:hAnsi="Times New Roman"/>
          <w:sz w:val="20"/>
        </w:rPr>
      </w:pPr>
      <w:r>
        <w:rPr>
          <w:rFonts w:ascii="Calibri;sans-serif" w:hAnsi="Calibri;sans-serif"/>
          <w:b/>
          <w:i/>
          <w:color w:val="000000"/>
          <w:sz w:val="20"/>
        </w:rPr>
        <w:t>Foreign Currency Exchange Risk</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Historically, because our operations and sales have been primarily in the United States, we have not faced any significant foreign currency risk. As of September 30, 2023 and December 31, 2022, we had foreign currency exposures in the British pound, the Euro, and the Canadian dollar, although such exposure was immaterial.</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Our foreign subsidiaries have intercompany transactions that are eliminated upon consolidation, and these transactions expose us to foreign currency exchange rate fluctuations. Exchange rate fluctuations on short</w:t>
        <w:noBreakHyphen/>
        <w:t>term intercompany transactions are recognized within other expense, net in our Unaudited Condensed Consolidated Income Statements. Exchange rate fluctuations on long-term intercompany transactions are recognized within accumulated other comprehensive (loss) income in our Unaudited Condensed Consolidated Balance Sheets.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As we seek to grow our international operations in Canada and the United Kingdom, our risks associated with fluctuation in currency rates may become greater, and we will continue to reassess our approach to managing these risks.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3" w:name="item_4_controls_procedures"/>
      <w:bookmarkEnd w:id="13"/>
      <w:r>
        <w:rPr>
          <w:rFonts w:ascii="Calibri;sans-serif" w:hAnsi="Calibri;sans-serif"/>
          <w:b/>
          <w:color w:val="000000"/>
          <w:sz w:val="20"/>
        </w:rPr>
        <w:t>Item 4. Controls</w:t>
      </w:r>
      <w:r>
        <w:rPr>
          <w:rFonts w:ascii="Times New Roman" w:hAnsi="Times New Roman"/>
          <w:color w:val="000000"/>
          <w:sz w:val="20"/>
        </w:rPr>
        <w:t xml:space="preserve"> </w:t>
      </w:r>
      <w:r>
        <w:rPr>
          <w:rFonts w:ascii="Calibri;sans-serif" w:hAnsi="Calibri;sans-serif"/>
          <w:b/>
          <w:color w:val="000000"/>
          <w:sz w:val="20"/>
        </w:rPr>
        <w:t>and Procedures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Evaluation of Disclosure Controls and Procedures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As described below, based on the evaluation of our disclosure controls and procedures as of the end of the period covered by this Quarterly Report, management identified a material weakness in our internal control over financial reporting. As a result of the material weakness, our Principal Executive Officer has concluded that, as of such date, our disclosure controls and procedures were not effective to provide reasonable assurance that information required to be disclosed in the reports we file and submit under the Exchange Act is recorded, processed, summarized, and reported as and when required.</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Notwithstanding this material weakness noted above, our management, including our Principal Executive Officer, has concluded that our financial statements included in this Quarterly Report present fairly, in all material respects, our financial position, results of operations, and cash flows for the periods presented in accordance with GAAP.</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control deficiencies, which, in the aggregate, were assessed as a material weakness as disclosed in our Annual Report, have not yet been fully remediated.</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We have concluded that this material weakness exists at our CarOffer subsidiary, as CarOffer does not have the necessary business and IT processes, personnel, and related internal controls to operate in a manner to satisfy the accounting and financial reporting requirements of a public company.</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The deficiencies at our CarOffer subsidiary were the result of both design and operating deficiencies related to certain controls over information technology systems that are relevant to the preparation of our financial statements, and business controls over our financial statement close processes. The deficiencies were primarily the result of (i) insufficient evidence of management review and performance of control procedures, (ii) the inability to rely on information produced from IT systems and an absence of compensating procedures, (iii) controls not designed to require proper authorization of certain transactions, and (iv) controls not designed or operating effectively related to logical access and change management of IT systems.</w:t>
      </w:r>
      <w:r>
        <w:rPr>
          <w:rFonts w:ascii="Times New Roman" w:hAnsi="Times New Roman"/>
          <w:color w:val="000000"/>
          <w:sz w:val="20"/>
        </w:rPr>
        <w:t xml:space="preserve"> </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Specifically, we did not have sufficient knowledgeable personnel or processes in place which resulted in:</w:t>
      </w:r>
    </w:p>
    <w:p>
      <w:pPr>
        <w:pStyle w:val="TextBody"/>
        <w:bidi w:val="0"/>
        <w:spacing w:before="240" w:after="283"/>
        <w:ind w:left="489"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 xml:space="preserve">Ineffective controls related to user access reviews designed to adequately restrict privileged and end-user access to certain financial applications, programs, and data to appropriate company personnel, including consideration to segregation of incompatible duties;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489"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Ineffective change management review controls for certain financial applications to ensure that IT program and data changes affecting financial IT applications and underlying accounting records are identified, tested, authorized, and implemented appropriately; and</w:t>
      </w:r>
    </w:p>
    <w:p>
      <w:pPr>
        <w:pStyle w:val="TextBody"/>
        <w:bidi w:val="0"/>
        <w:spacing w:before="240" w:after="283"/>
        <w:ind w:left="489"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Ineffective controls over the financial statement close processes, including those related to the review of CarOffer journal entries, reconciliations, management review controls, and analyses of transactions and accounts.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This material weakness did not result in a known material misstatement to our financial statements. However, the material weakness could have resulted in material misstatements in our interim or annual financial statements and disclosures which then may not have been prevented or detected. The material weakness also impacts the effectiveness of segregation of duties, impacts the effectiveness of financial controls which rely on information from relevant financial systems, and increases the reliance on corporate accounting personnel to identify errors at the CarOffer subsidiary level.</w:t>
      </w:r>
    </w:p>
    <w:p>
      <w:pPr>
        <w:pStyle w:val="TextBody"/>
        <w:bidi w:val="0"/>
        <w:spacing w:before="240" w:after="283"/>
        <w:ind w:left="0" w:right="0" w:firstLine="490"/>
        <w:jc w:val="both"/>
        <w:rPr>
          <w:rFonts w:ascii="Calibri;sans-serif" w:hAnsi="Calibri;sans-serif"/>
          <w:b w:val="false"/>
          <w:i/>
          <w:color w:val="000000"/>
          <w:sz w:val="20"/>
        </w:rPr>
      </w:pPr>
      <w:r>
        <w:rPr>
          <w:rFonts w:ascii="Calibri;sans-serif" w:hAnsi="Calibri;sans-serif"/>
          <w:b w:val="false"/>
          <w:i/>
          <w:color w:val="000000"/>
          <w:sz w:val="20"/>
        </w:rPr>
        <w:t>Remediation Plan</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We and our Board of Directors are committed to maintaining a strong internal control environment. Management, with the oversight of the Audit Committee of our Board of Directors, evaluated the material weakness identified during the second quarter of 2022, and implemented a remediation plan to address the material weakness and enhance our control environment. Management subsequently evaluated the additional control deficiencies, status of remediation, and the material weakness which exists as of September 30, 2023, to determine key remediation activities. The remediation plan addresses the additional deficiencies identified through the annual assessment of the effectiveness of our internal control over financial reporting. Our remediation measures are ongoing and include the following:</w:t>
      </w:r>
      <w:r>
        <w:rPr>
          <w:rFonts w:ascii="Times New Roman" w:hAnsi="Times New Roman"/>
          <w:color w:val="000000"/>
          <w:sz w:val="20"/>
        </w:rPr>
        <w:t xml:space="preserve"> </w:t>
      </w:r>
    </w:p>
    <w:p>
      <w:pPr>
        <w:pStyle w:val="TextBody"/>
        <w:bidi w:val="0"/>
        <w:spacing w:before="240" w:after="283"/>
        <w:ind w:left="489"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Implementing robust review controls over user access and change management for relevant financial systems;</w:t>
      </w:r>
    </w:p>
    <w:p>
      <w:pPr>
        <w:pStyle w:val="TextBody"/>
        <w:bidi w:val="0"/>
        <w:spacing w:before="240" w:after="283"/>
        <w:ind w:left="489"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Implementing effective review of journal entries and account reconciliations, and other financial statement close analyses and processes;</w:t>
      </w:r>
    </w:p>
    <w:p>
      <w:pPr>
        <w:pStyle w:val="TextBody"/>
        <w:bidi w:val="0"/>
        <w:spacing w:before="240" w:after="283"/>
        <w:ind w:left="489" w:right="0" w:hanging="0"/>
        <w:jc w:val="both"/>
        <w:rPr>
          <w:color w:val="000000"/>
        </w:rPr>
      </w:pPr>
      <w:r>
        <w:rPr>
          <w:color w:val="000000"/>
        </w:rPr>
        <w:t>•</w:t>
      </w:r>
    </w:p>
    <w:p>
      <w:pPr>
        <w:pStyle w:val="TextBody"/>
        <w:bidi w:val="0"/>
        <w:spacing w:before="240" w:after="283"/>
        <w:jc w:val="both"/>
        <w:rPr>
          <w:rFonts w:ascii="Calibri;sans-serif" w:hAnsi="Calibri;sans-serif"/>
          <w:b w:val="false"/>
          <w:color w:val="000000"/>
          <w:sz w:val="20"/>
        </w:rPr>
      </w:pPr>
      <w:r>
        <w:rPr>
          <w:rFonts w:ascii="Calibri;sans-serif" w:hAnsi="Calibri;sans-serif"/>
          <w:b w:val="false"/>
          <w:color w:val="000000"/>
          <w:sz w:val="20"/>
        </w:rPr>
        <w:t>Implementing controls to address the inability to rely on information from the IT systems;</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Enhancing evidence retained which supports the operating effectiveness of controls;</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Engaging internal and external resources to assist with remediation;</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Implementation of controls at the corporate level to reduce the risk of material misstatement related to CarOffer financial statements and disclosures;</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Hiring additional qualified SOX-focused personnel to provide additional capacity and expertise to enhance our IT control environment; and</w:t>
      </w:r>
    </w:p>
    <w:p>
      <w:pPr>
        <w:pStyle w:val="TextBody"/>
        <w:bidi w:val="0"/>
        <w:spacing w:before="240" w:after="283"/>
        <w:ind w:left="489" w:right="0" w:hanging="0"/>
        <w:jc w:val="left"/>
        <w:rPr>
          <w:color w:val="000000"/>
        </w:rPr>
      </w:pPr>
      <w:r>
        <w:rPr>
          <w:color w:val="000000"/>
        </w:rPr>
        <w:t>•</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Leveraging CarGurus resources with significant public company experience to provide oversight of CarOffer IT and financial controls programs.</w:t>
      </w:r>
    </w:p>
    <w:p>
      <w:pPr>
        <w:pStyle w:val="TextBody"/>
        <w:bidi w:val="0"/>
        <w:spacing w:before="240" w:after="283"/>
        <w:ind w:left="0" w:right="0" w:firstLine="490"/>
        <w:jc w:val="both"/>
        <w:rPr>
          <w:rFonts w:ascii="Times New Roman" w:hAnsi="Times New Roman"/>
          <w:sz w:val="20"/>
        </w:rPr>
      </w:pPr>
      <w:r>
        <w:rPr>
          <w:rFonts w:ascii="Calibri;sans-serif" w:hAnsi="Calibri;sans-serif"/>
          <w:b w:val="false"/>
          <w:color w:val="000000"/>
          <w:sz w:val="20"/>
        </w:rPr>
        <w:t>Management is committed to successfully implementing the remediation plan as promptly as possible. As of September 30, 2023, management has implemented or enhanced certain controls to address specific issues related to the material weakness. The material weakness will not be considered remediated until our management implements effective controls that operate for a sufficient period of time and our management has concluded through testing that these controls are effective. The elements of our remediation plan can only be accomplished over time, and we can offer no assurance that these initiatives will ultimately have the intended effects. See “</w:t>
      </w:r>
      <w:r>
        <w:rPr>
          <w:rFonts w:ascii="Calibri;sans-serif" w:hAnsi="Calibri;sans-serif"/>
          <w:b w:val="false"/>
          <w:i/>
          <w:color w:val="000000"/>
          <w:sz w:val="20"/>
        </w:rPr>
        <w:t>Risk Factors—Risks Related to Our Business and Industry— 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Class A common stock.”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Changes in Internal Control over Financial Reporting</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center"/>
        <w:rPr>
          <w:rFonts w:ascii="Calibri;sans-serif" w:hAnsi="Calibri;sans-serif"/>
          <w:b/>
          <w:color w:val="000000"/>
          <w:sz w:val="20"/>
        </w:rPr>
      </w:pPr>
      <w:bookmarkStart w:id="14" w:name="part_iior_information"/>
      <w:bookmarkEnd w:id="14"/>
      <w:r>
        <w:rPr>
          <w:rFonts w:ascii="Calibri;sans-serif" w:hAnsi="Calibri;sans-serif"/>
          <w:b/>
          <w:color w:val="000000"/>
          <w:sz w:val="20"/>
        </w:rPr>
        <w:t>PART II—OTHER INFORMATION</w:t>
      </w:r>
    </w:p>
    <w:p>
      <w:pPr>
        <w:pStyle w:val="TextBody"/>
        <w:bidi w:val="0"/>
        <w:spacing w:before="120" w:after="120"/>
        <w:jc w:val="both"/>
        <w:rPr>
          <w:rFonts w:ascii="Calibri;sans-serif" w:hAnsi="Calibri;sans-serif"/>
          <w:b/>
          <w:color w:val="000000"/>
          <w:sz w:val="20"/>
        </w:rPr>
      </w:pPr>
      <w:bookmarkStart w:id="15" w:name="item_1_legal_proceedings"/>
      <w:bookmarkEnd w:id="15"/>
      <w:r>
        <w:rPr>
          <w:rFonts w:ascii="Calibri;sans-serif" w:hAnsi="Calibri;sans-serif"/>
          <w:b/>
          <w:color w:val="000000"/>
          <w:sz w:val="20"/>
        </w:rPr>
        <w:t>Item 1. Legal Proceedings.</w:t>
      </w:r>
    </w:p>
    <w:p>
      <w:pPr>
        <w:pStyle w:val="TextBody"/>
        <w:bidi w:val="0"/>
        <w:spacing w:before="120" w:after="120"/>
        <w:ind w:left="0" w:right="0" w:firstLine="490"/>
        <w:jc w:val="both"/>
        <w:rPr>
          <w:rFonts w:ascii="Calibri;sans-serif" w:hAnsi="Calibri;sans-serif"/>
          <w:b w:val="false"/>
          <w:color w:val="000000"/>
          <w:sz w:val="20"/>
        </w:rPr>
      </w:pPr>
      <w:r>
        <w:rPr>
          <w:rFonts w:ascii="Calibri;sans-serif" w:hAnsi="Calibri;sans-serif"/>
          <w:b w:val="false"/>
          <w:color w:val="000000"/>
          <w:sz w:val="20"/>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color w:val="000000"/>
          <w:sz w:val="20"/>
        </w:rPr>
      </w:pPr>
      <w:bookmarkStart w:id="16" w:name="item_1a_risk_factors"/>
      <w:bookmarkEnd w:id="16"/>
      <w:r>
        <w:rPr>
          <w:rFonts w:ascii="Calibri;sans-serif" w:hAnsi="Calibri;sans-serif"/>
          <w:b/>
          <w:color w:val="000000"/>
          <w:sz w:val="20"/>
        </w:rPr>
        <w:t>Item 1A. Risk Factors.</w:t>
      </w:r>
    </w:p>
    <w:p>
      <w:pPr>
        <w:pStyle w:val="TextBody"/>
        <w:bidi w:val="0"/>
        <w:spacing w:before="60" w:after="60"/>
        <w:jc w:val="both"/>
        <w:rPr>
          <w:rFonts w:ascii="Calibri;sans-serif" w:hAnsi="Calibri;sans-serif"/>
          <w:b w:val="false"/>
          <w:i/>
          <w:color w:val="000000"/>
          <w:sz w:val="20"/>
        </w:rPr>
      </w:pPr>
      <w:r>
        <w:rPr>
          <w:rFonts w:ascii="Calibri;sans-serif" w:hAnsi="Calibri;sans-serif"/>
          <w:b w:val="false"/>
          <w:i/>
          <w:color w:val="000000"/>
          <w:sz w:val="20"/>
        </w:rPr>
        <w:t>Investing in our Class A common stock involves a high degree of risk. You should carefully consider the risks and uncertainties described below, some of which have previously occurred and any of which may occur in the future, together with all of the other information contained in this Quarterly Report, including “Management’s Discussion and Analysis of Financial Condition and Results of Operations” and our Unaudited Consolidated Financial Statements and the related notes thereto appearing elsewhere in this Quarterly Report,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noBreakHyphen/>
        <w:t>Looking Statements.”</w:t>
      </w:r>
    </w:p>
    <w:p>
      <w:pPr>
        <w:pStyle w:val="TextBody"/>
        <w:bidi w:val="0"/>
        <w:spacing w:before="60" w:after="60"/>
        <w:jc w:val="both"/>
        <w:rPr>
          <w:rFonts w:ascii="Times New Roman" w:hAnsi="Times New Roman"/>
          <w:sz w:val="20"/>
        </w:rPr>
      </w:pPr>
      <w:r>
        <w:rPr>
          <w:rFonts w:ascii="Calibri;sans-serif" w:hAnsi="Calibri;sans-serif"/>
          <w:b/>
          <w:color w:val="000000"/>
          <w:sz w:val="20"/>
        </w:rPr>
        <w:t>Risks Related to Our Business and Industry</w:t>
      </w:r>
      <w:r>
        <w:rPr>
          <w:rFonts w:ascii="Times New Roman" w:hAnsi="Times New Roman"/>
          <w:color w:val="000000"/>
          <w:sz w:val="20"/>
        </w:rPr>
        <w:t xml:space="preserve"> </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Our business is substantially dependent on our relationships with dealers. If a significant number of dealers terminate their subscription agreements with us, and/or dealer closures or consolidations occur that reduce demand for our products, our business and financial results would be materially and adversely affected.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 significant source of our revenue consists of subscription fees paid to us by dealers for access to enhanced features on our automotive marketplaces. Our subscription agreements with dealers generally may be terminated by us with 30 days’ notice and by dealers with 30 days’ notice prior to the commencement of the applicable renewal term. The majority of our contracts with dealers currently provide for one-month committed terms and do not contain contractual obligations requiring a dealer to maintain its relationship with us beyond the committed term. A dealer may be influenced by several factors to cancel its subscription with us,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dealers could share this belief and we may lose a number of our paying dealers. If a significant number of our paying dealers terminate their subscriptions with us, our business and financial results would be materially and adversely affected.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Additionally, in the past, the number of United States dealers has declined due to dealership closures and consolidations as a result of industry dynamics and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and financial results could be materially and adversely affected.</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If we fail to maintain or increase the number of dealers that pay subscription fees to us, or fail to maintain or increase the fees paid to us for subscriptions, our business and financial results would be materially and adversely affected.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prior to the commencement of the applicable renewal term. If we fail to maintain or expand our base of paying dealers or fail to maintain or increase the level of fees that we receive from them, our business and financial results would be materially and adversely affected.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allow dealers to list their inventory in CarGurus' marketplaces for free; however, we impose certain limitations on such free listings.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paying and non-paying dealers to receive fewer leads and connections, which may make it more difficult for us to convert non-paying dealers to paying dealers or maintain or expand our base of paying dealers. If dealers do not subscribe to our paid offerings at the rates we expect, our business and financial results would be materially and adversely affected.</w:t>
      </w:r>
    </w:p>
    <w:p>
      <w:pPr>
        <w:pStyle w:val="TextBody"/>
        <w:bidi w:val="0"/>
        <w:spacing w:before="60" w:after="60"/>
        <w:jc w:val="both"/>
        <w:rPr>
          <w:rFonts w:ascii="Times New Roman" w:hAnsi="Times New Roman"/>
          <w:sz w:val="20"/>
        </w:rPr>
      </w:pPr>
      <w:r>
        <w:rPr>
          <w:rFonts w:ascii="Calibri;sans-serif" w:hAnsi="Calibri;sans-serif"/>
          <w:b/>
          <w:i/>
          <w:color w:val="000000"/>
          <w:sz w:val="20"/>
        </w:rPr>
        <w:t>Our business is subject to risks related to the larger automotive industry ecosystem, which could have a material adverse effect on our business, revenue, results of operations, and financial condition.</w:t>
      </w:r>
      <w:r>
        <w:rPr>
          <w:rFonts w:ascii="Times New Roman" w:hAnsi="Times New Roman"/>
          <w:color w:val="000000"/>
          <w:sz w:val="20"/>
        </w:rPr>
        <w:t xml:space="preserve"> </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increased interest rates; reductions in business and consumer confidence; stock market volatility; unemployment; and the lingering effects of the COVID-19 pandemic.</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val="false"/>
          <w:color w:val="000000"/>
          <w:sz w:val="20"/>
        </w:rPr>
      </w:pPr>
      <w:r>
        <w:rPr>
          <w:rFonts w:ascii="Calibri;sans-serif" w:hAnsi="Calibri;sans-serif"/>
          <w:b w:val="false"/>
          <w:color w:val="000000"/>
          <w:sz w:val="20"/>
        </w:rPr>
        <w:t>adversely affect dealers and car manufacturers and lead to a reduction in other spending by these groups, including targeted incentive programs.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In addition, our business has been and may continue to be negatively affected by challenges to the larger automotive industry ecosystem, including global supply chain challenges, the effects of the global semiconductor chip shortage, changes to trade policies, including tariff rates and customs duties, trade relations between the United States and China and other macroeconomic issues, including the lingering effects of the COVID-19 pandemic, and increased interest rates. Increasing global inflation rates have spurred a cycle of monetary policy tightening, including through central bank increases to key short-term lending rates. Both the availability and cost of credit are factors affecting consumer confidence, which is a critical driver of vehicle sales for our consumers and dealers. Additionally, vehicle affordability for our consumers is becoming more challenging due to a combination of factors, including elevated vehicle pricing resulting from inflationary cost increases and vehicle production constraints, and rising vehicle finance costs due to increased interest rates. These factors could have a material adverse effect on our business, revenue, results of operations, and financial condition.</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If the CarOffer business and/or our combined offerings do not continue to grow, our revenue and business would be significantly harmed.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 significant amount of our revenue is now derived from the wholesale sale of automobiles and IMCO. Continued achievement of our transaction synergies and our ability to continue to grow the CarOffer business and the revenue associated with it depends on a number of factors, including, but not limited to, our ability to continue to: expand the number of dealers engaging on the CarOffer platform; retain existing customers and increase the share of wholesale transactions that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Additionally, our ability to continue to grow IMCO and the revenue associated with it also depends on a number of factors, including, but not limited to, our ability to continue to: effectively scale and market IMCO; attract prospective consumers to sell their vehicles online through IMCO; and successfully compete with competitors, including online dealerships. If our anticipated transaction synergies do not fully materialize, or the CarOffer business and/or IMCO fail to continue to grow at the rate we expect, our revenue and business would be significantly harmed.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Industry conditions such as a significant change in retail vehicle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which could adversely impact the volume of vehicles offered for sale on the CarOffer platform. We also face inventory risk in connection with vehicles acquired by CarOffer via arbitration, including the risk of inventory obsolescence, a decline in values, and significant inventory write-downs or write-offs. Such inventory risk would be higher if arbitrations increase, which is more likely to occur in connection with declining wholesale market conditions.</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Furthermore, activity on the CarOffer platform has in the past fluctuated, and may again in the future fluctuate, from period to period based on macroeconomic conditions and changing demand requirements, which could adversely impact our revenue, results of operations, and financial condition for such period(s). Macroeconomic issues, including increased interest rates and lower consumer confidence, could also adversely impact dealer demand for sourcing inventory and therefore lead to a reduction in the number of vehicle wholesale sales on the CarOffer platform and/or transacted via IMCO, which would adversely impact CarOffer’s business and financial results. Additionally, inventory challenges in the automotive industry, including for reasons attributable to the COVID-19 pandemic, have contributed and could continue to contribute to a decrease in the supply of vehicles coming to the wholesale market and reduce the number of vehicles sold on the CarOffer platform and/or transacted via IMCO. An inability by CarOffer to retain customers and/or increase or find alternative sources of vehicle supply would adversely impact our revenue and business.</w:t>
      </w:r>
      <w:r>
        <w:rPr>
          <w:rFonts w:ascii="Times New Roman" w:hAnsi="Times New Roman"/>
          <w:color w:val="000000"/>
          <w:sz w:val="20"/>
        </w:rPr>
        <w:t xml:space="preserve"> </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The CarOffer Transaction may not close and the failure to complete the CarOffer Transaction could negatively impact the price of our Class A common stock and have other adverse effects.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On November 6, 2023, we signed the Purchase Agreement for the CarOffer Transaction. The CarOffer Transaction is subject to certain customary closing conditions. See Note 13 of our Unaudited Condensed Consolidated Financial Statements included elsewhere in this Quarterly Report for additional information. There can be no assurance that the CarOffer Transaction will be consummated on the terms or timeframe currently contemplated, or at all. If the CarOffer Transaction is not completed for any reason, we would be subject to a number of risks, including: we may experience negative reactions from the financial markets, including negative impacts on the price of our Class A common stock; we may experience negative reactions from our customers, partners, and other business relationships; and we may be required to devote significant time and resources to litigation related to any failure to complete the CarOffer Transaction or related to any proceeding commenced against us to perform our obligations under the Purchase Agreement.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If dealers or other advertisers reduce their spending with us, our advertising revenue and business and our financial results would be harmed.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 portion of our revenue is derived from advertising revenue generated primarily through short-term advertising sales, including on-site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As a result of the effects of the COVID-19 pandemic, some advertisers canceled or reduced their advertising with us and it is possible that advertising customers will cancel or reduce their advertising with us in the future for a variety of reasons, including the lingering effects of the COVID-19 pandemic and other macroeconomic issues, such as increased interest rates and other matters that influence consumer spending. In addition, the year-over-year decline in the number of consumer visits to our sites as a result of the COVID-19 pandemic or otherwise resulted in the delivery of fewer impressions for our advertising customers than anticipated year-over-year for the years ended December 31, 2020, 2021, and 2022, which has caused, and may continue to cause, an adverse impact on our advertising revenue.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If we are unable to provide a compelling experience to consumers on our platform, connections between consumers and dealers using our marketplaces may decline and our business and financial results would be materially and adversely affected.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We believe that our ability to provide a compelling vehicle search experience, both on desktop computers and through mobile devices, is subject to a number of factors, including our ability to: maintain attractive marketplaces for consumers and dealers; continue to innovate and introduce products for our marketplaces; anticipate or adapt to new and changing technologies and consumer requirements on a timely basis;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Any inability by us to develop new products, adapt to new technologies, or achieve widespread consumer and dealer adoption of those products, could negatively impact our business and financial results.</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Our success depends on our continued innovation to provide products that make our marketplaces, websites, and mobile applications useful for consumers and dealers or that otherwise provide value to consumers and dealers. For example, we continue to develop digital retail offerings, including those that expand a dealer’s geographic footprint and others that bring additional elements of the car buying experience online through our websites. A failure by us to capture the benefits that we expect from these digital retail investments could negatively impact our business and financial results.</w:t>
      </w:r>
      <w:r>
        <w:rPr>
          <w:rFonts w:ascii="Times New Roman" w:hAnsi="Times New Roman"/>
          <w:color w:val="000000"/>
          <w:sz w:val="20"/>
        </w:rPr>
        <w:t xml:space="preserve"> </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We also anticipate that over time our investments in our current products may become less productive and the growth of our revenue will require more focus on developing new products. These new products must be widely adopted by consumers and dealers in order for us to continue to attract consumers to our marketplaces and dealers to our products and services. Accordingly, we must continually invest resources in product, technology, and development to improve the attractiveness of our marketplaces and adapt to new and changing technologies and consumer requirements. Our ability to engage in these activities may decline as a result of macroeconomic effects and any cost-savings initiatives on our business. These product, technology, and development expenses may include costs of hiring additional personnel and retaining our current employees, engaging third-party service providers, and conducting other research and development activities. There can be no assurance that innovations to our products like IMCO, or the development of future products, will increase consumer or dealer engagement, achieve market acceptance, create additional revenue, or become profitable. There can also be no assurance that our future products will meet consumer expectations in light of new technologies offered by others in the marketplace.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val="false"/>
          <w:color w:val="000000"/>
          <w:sz w:val="20"/>
        </w:rPr>
      </w:pPr>
      <w:r>
        <w:rPr>
          <w:rFonts w:ascii="Calibri;sans-serif" w:hAnsi="Calibri;sans-serif"/>
          <w:b w:val="false"/>
          <w:color w:val="000000"/>
          <w:sz w:val="20"/>
        </w:rPr>
        <w:t>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rely on internet search engines to drive traffic to our websites, and if we fail to appear prominently in the search results, our traffic would decline and our business would be adversely affected.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and/or introduce competing products in a way that would adversely affect our search result rankings. If internet search engines modify their methodologies in ways that are detrimental to us, as they have done from time to time, or if our efforts to improve our search engine optimization are unsuccessful or less successful than our competitors’ efforts, our ability to attract a large consumer audience could diminish, traffic to our marketplaces could decline, and the number of leads that we send to our dealers could be adversely impacted. Additionally, competing products from internet search engine providers, such as those that provide dealer and vehicle pricing and other information directly in search results, could also adversely impact traffic to our websites and the number of leads that we are able to send to our dealers. Our business would also be adversely affected if internet search engine providers choose to align with our competitors.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would harm our business and operating results.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may be unable to maintain or grow relationships with data providers, or may experience interruptions in the data they provide, which may create a less valuable or transparent shopping experience and negatively affect our business and operating results.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The failure to build, maintain, and protect our brands would harm our ability to attract a large consumer audience and to expand the use of our marketplaces by consumers and dealers.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we have reduced our brand spend in comparison to our pre-COVID-19 pandemic levels, and it is possible that we may in the future decide to further suppress such spend depending on macroeconomic conditions.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third party content and conduct on our websites and other aspects of our business, irrespective of their validity, could diminish consumers’ and dealers’ confidence and participation in our marketplaces and could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Times New Roman" w:hAnsi="Times New Roman"/>
          <w:sz w:val="20"/>
        </w:rPr>
      </w:pPr>
      <w:r>
        <w:rPr>
          <w:rFonts w:ascii="Calibri;sans-serif" w:hAnsi="Calibri;sans-serif"/>
          <w:b w:val="false"/>
          <w:color w:val="000000"/>
          <w:sz w:val="20"/>
        </w:rPr>
        <w:t>adversely affect our brands. There can be no assurance that we will be able to maintain or enhance our brands, and failure to do so would harm our business growth prospects and operating results.</w:t>
      </w:r>
      <w:r>
        <w:rPr>
          <w:rFonts w:ascii="Times New Roman" w:hAnsi="Times New Roman"/>
          <w:color w:val="000000"/>
          <w:sz w:val="20"/>
        </w:rPr>
        <w:t xml:space="preserve"> </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Our revenue growth rate in the future is uncertain, including due to potential macroeconomic effects.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While our revenue increased to $1,655.0 million for the year ended December 31, 2022, from $951.4 million for the year ended December 31, 2021, representing a 74% increase between such periods, our revenue decreased to $219.4 million for the three months ended September 30, 2023, from $426.5 million, representing a 49% decrease between such periods. Our revenue in the future is uncertain and could potentially be impacted by macroeconomic issues, such as declining wholesale vehicle prices, the war in Ukraine and Russian sanctions, the conflict in Israel and surrounding areas and the possible expansion of such conflict, increased interest rates, lower consumer confidence, consumer debt levels, and other matters that influence consumer spending and preferences. In addition, we will not be able to grow as expected, or at all, if we fail to: increase the number of consumers using our marketplaces; attract new consumers to sell their vehicles online through IMCO; maintain and expand the number of dealers that subscribe to our marketplaces and maintain and increase the fees that they are paying; expand the number of dealers engaging on the CarOffer platform and increase the share of wholesale transactions which they complete on such platform;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or fails to grow, investors’ perceptions of our business may be adversely affected, and the market price of our Class A common stock could decline.</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If we are unable to generate sufficient cash flows, we would require additional capital to pursue our business objectives and respond to business opportunities, challenges, or unforeseen circumstances, including the effects of macroeconomic issues and the lingering effects of COVID-19,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in addition to the 2022 Revolver. However, additional funds may not be available when we need them on terms that are acceptable to us or at all. Volatility in the equity and credit markets, including heightened inflation and interest rate and currency rate fluctuation, may also have an adverse effect on our ability to obtain equity or debt financing. An inability to obtain adequate financing or financing on terms satisfactory to us when we require it could significantly limit our ability to continue to pursue our business objectives and to respond to business opportunities, challenges, or unforeseen circumstances, and may adversely affect our business, operating results, financial condition, and prospects.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Our international operations involve risks that may differ from, or are in addition to, our domestic operational risks.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In addition to the United States, we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have incurred losses in prior periods in the United Kingdom and Canada and may incur losses there again in the future. We also face various other challenges in those jurisdictions. For example, our competitors may be more established or otherwise better positioned than we are to succeed in the United Kingdom and Canada. Our competitors may offer services to dealers that make dealers dependent on them, such as hosting dealers’ websites and providing inventory feeds for dealers, which would make it difficult to attract dealers to our marketplaces. Any of these barriers could impede our operations in our international markets, which could affect our business and potential growth.</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adapting our websites and mobile applications to conform to local consumer behavior; increased competition from local providers and potential preferences by local populations for local providers; compliance with applicable foreign laws and regulations, including different privacy, censorship, and liability standards and regulations, and different intellectual property laws; the enforceability of our intellectual property rights; credit risk and higher levels of payment fraud; compliance with anti-bribery laws, including compliance with currency exchange rate fluctuations; adverse changes in trade relationships among foreign countries and/or between the United States and such countries; double taxation of our international earnings and potentially adverse tax consequences arising from the tax laws of the United States or the foreign jurisdictions in which we operate; and higher costs of doing business internationally.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believe our success has depended, and continues to depend, on our continuing ability to attract, develop, motivate, and retain highly qualified and skilled employees. We have encountered intense competition for retaining and attracting qualified and skilled employees. Accordingly, we have incurred, and we may continue to incur, significant costs to attract new employees and retain existing ones, and we may in the future become less competitive in attracting and retaining employees as a result of any expense reduction efforts that we may initiate. If we do not succeed in attracting well-qualified employees or retaining and motivating existing employees, our business could be materially and adversely affected.</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In addition, any unplanned turnover, reduced involvement,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which means they may terminate their employment relationships with us at any time. We cannot ensure that we will be able to retain the services of any members of our senior management or other key employees. Changes in our senior management and other key employees have the potential to disrupt our business, and any such disruption could adversely affect our operations, growth, financial condition, or results of operations.</w:t>
      </w:r>
      <w:r>
        <w:rPr>
          <w:rFonts w:ascii="Times New Roman" w:hAnsi="Times New Roman"/>
          <w:color w:val="000000"/>
          <w:sz w:val="20"/>
        </w:rPr>
        <w:t xml:space="preserve"> </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may be subject to disputes regarding the accuracy of Instant Market Values, Deal Ratings, Dealer Ratings, New Car Price Guidance, and other features of our marketplaces.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provide consumers using our CarGurus platform and dealers using our CarOffer platform with our proprietary Instant Market Value, or IMV, Deal Ratings, and Dealer Ratings, as well as other features to help them evaluate vehicle listings, including price guidance for new car listings, or New Car Price Guidance. Our valuation models depend on the inventory listed on our websites as well as public information regarding automotive sales. If the inventory on our websites declines significantly, or if the number of automotive sales declines significantly or used car sales prices become volatile, whether as a result of macroeconomic effects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confidence in, or use of, our marketplaces, and could result in legal disputes.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are subject to a complex framework of laws and regulations, many of which are unsettled, still developing, and contradictory, which have in the past, and could in the future, subject us to claims, challenge our business model, or otherwise harm our business.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Various aspects of our business are, may become, or may be viewed by regulators from time to time as subject, directly or indirectly, to United States federal, state, and local laws and regulations, and to foreign laws and regulations.</w:t>
      </w:r>
    </w:p>
    <w:p>
      <w:pPr>
        <w:pStyle w:val="TextBody"/>
        <w:bidi w:val="0"/>
        <w:spacing w:before="60" w:after="60"/>
        <w:jc w:val="both"/>
        <w:rPr>
          <w:rFonts w:ascii="Calibri;sans-serif" w:hAnsi="Calibri;sans-serif"/>
          <w:b w:val="false"/>
          <w:i/>
          <w:color w:val="000000"/>
          <w:sz w:val="20"/>
        </w:rPr>
      </w:pPr>
      <w:r>
        <w:rPr>
          <w:rFonts w:ascii="Calibri;sans-serif" w:hAnsi="Calibri;sans-serif"/>
          <w:b w:val="false"/>
          <w:i/>
          <w:color w:val="000000"/>
          <w:sz w:val="20"/>
        </w:rPr>
        <w:t>Local Motor Vehicle Sales, Advertising and Brokering, and Consumer Protection Laws</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The advertising and sale of new and used motor vehicles is highly regulated by the jurisdictions in which we do business. Regulatory authorities or third parties could take the position that some of the laws or regulations applicable to dealers or to the manner in which motor vehicles are advertised and sold generally are directly applicable to our business.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r>
        <w:rPr>
          <w:rFonts w:ascii="Times New Roman" w:hAnsi="Times New Roman"/>
          <w:color w:val="000000"/>
          <w:sz w:val="20"/>
        </w:rPr>
        <w:t xml:space="preserve"> </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If regulators or other third parties take the position that our marketplaces or related products violate applicable dealer licensing,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 distraction for our employees, increased expenses, and decreased profitability.</w:t>
      </w:r>
    </w:p>
    <w:p>
      <w:pPr>
        <w:pStyle w:val="TextBody"/>
        <w:bidi w:val="0"/>
        <w:spacing w:before="60" w:after="60"/>
        <w:jc w:val="both"/>
        <w:rPr>
          <w:rFonts w:ascii="Calibri;sans-serif" w:hAnsi="Calibri;sans-serif"/>
          <w:b w:val="false"/>
          <w:i/>
          <w:color w:val="000000"/>
          <w:sz w:val="20"/>
        </w:rPr>
      </w:pPr>
      <w:r>
        <w:rPr>
          <w:rFonts w:ascii="Calibri;sans-serif" w:hAnsi="Calibri;sans-serif"/>
          <w:b w:val="false"/>
          <w:i/>
          <w:color w:val="000000"/>
          <w:sz w:val="20"/>
        </w:rPr>
        <w:t>Federal Laws and Regulations</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val="false"/>
          <w:color w:val="000000"/>
          <w:sz w:val="20"/>
        </w:rPr>
      </w:pPr>
      <w:r>
        <w:rPr>
          <w:rFonts w:ascii="Calibri;sans-serif" w:hAnsi="Calibri;sans-serif"/>
          <w:b w:val="false"/>
          <w:color w:val="000000"/>
          <w:sz w:val="20"/>
        </w:rPr>
        <w:t>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 increased expenses, and decreased profitability.</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Our platforms enable us, dealers, and users to send and receive text messages and other mobile phone communications. The Telephone Consumer Protection Act, or the TCPA, as interpreted and implemented by the United States Federal Communications Commission, or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pStyle w:val="TextBody"/>
        <w:bidi w:val="0"/>
        <w:spacing w:before="60" w:after="60"/>
        <w:jc w:val="both"/>
        <w:rPr>
          <w:rFonts w:ascii="Calibri;sans-serif" w:hAnsi="Calibri;sans-serif"/>
          <w:b w:val="false"/>
          <w:i/>
          <w:color w:val="000000"/>
          <w:sz w:val="20"/>
        </w:rPr>
      </w:pPr>
      <w:r>
        <w:rPr>
          <w:rFonts w:ascii="Calibri;sans-serif" w:hAnsi="Calibri;sans-serif"/>
          <w:b w:val="false"/>
          <w:i/>
          <w:color w:val="000000"/>
          <w:sz w:val="20"/>
        </w:rPr>
        <w:t>Antitrust and Other Laws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Antitrust and competition laws prohibit, among other things, any joint conduct among competitors that would lessen competition in the marketplace. A governmental or private civil action alleging unlawful or anticompetitive activity could be costly to defend and could harm our business, results of operations, financial condition, and cash flows.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pStyle w:val="TextBody"/>
        <w:bidi w:val="0"/>
        <w:spacing w:before="60" w:after="60"/>
        <w:jc w:val="both"/>
        <w:rPr>
          <w:rFonts w:ascii="Times New Roman" w:hAnsi="Times New Roman"/>
          <w:sz w:val="20"/>
        </w:rPr>
      </w:pPr>
      <w:r>
        <w:rPr>
          <w:rFonts w:ascii="Calibri;sans-serif" w:hAnsi="Calibri;sans-serif"/>
          <w:b/>
          <w:i/>
          <w:color w:val="000000"/>
          <w:sz w:val="20"/>
        </w:rPr>
        <w:t>Expectations relating to environmental, social, and governance considerations expose us to potential liabilities, increased costs, reputational harm, and other adverse effects on our business.</w:t>
      </w:r>
      <w:r>
        <w:rPr>
          <w:rFonts w:ascii="Times New Roman" w:hAnsi="Times New Roman"/>
          <w:color w:val="000000"/>
          <w:sz w:val="20"/>
        </w:rPr>
        <w:t xml:space="preserve"> </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Many governments, regulators, investors, employees, customers, and other stakeholders are increasingly focused on environmental, social, and governance, or ESG, considerations relating to our business, including climate change and greenhouse gas emissions, human capital, and diversity, equity, and inclusion. We make statements about our ESG goals and initiatives through information provided on our website. Responding to these ESG considerations and implementation of these goals and initiatives involves risks and uncertainties, requires investments, and are impacted by factors that may be outside our control. In addition, some stakeholders may disagree with our ESG goals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our ESG goals, further our initiatives, adhere to our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 Additionally, meeting evolving and varied stakeholder expectations and standards may require management time and expense and may result in a significant increase in costs, which may negatively impact our business and financial results.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rely on third-party service providers and strategic partners for many aspects of our business, and any failure to maintain these relationships or to successfully integrate certain third-party platforms could harm our business.</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Our success depends upon our relationships with third parties, including, among others: our transaction processor; our data center hosts; our information technology providers; our data providers for inventory and vehicle information; and our partners for vehicle transportation, inspection, and other logistics associated with our CarOffer business and IMCO.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macroeconomic conditions or otherwise, we could suffer increased costs and we may be unable to provide similar services until an equivalent provider could be found or we could develop replacement technology or operations. For example, primarily in connection with our Dealer-to-Dealer transactions, we utilize a single third-party transaction processor that collects customer payments on our behalf and remits them to us, provides payments in advance for certain selling dealers, provides titling services for transactions, and holds auction licenses. If our relationship with this third-party transaction processor were to deteriorate or terminate, we would have to identify a succeeding transaction processor or assume in-house facilitation of these services, which would disrupt our business and could adversely affect our revenue, results of operations, and financial condition. Furthermore, if we are unsuccessful in identifying or finding high-quality partners, if we fail to negotiate cost-effective relationships with them, or if we ineffectively manage these relationships, it could have an adverse impact on our business and financial results.</w:t>
      </w:r>
      <w:r>
        <w:rPr>
          <w:rFonts w:ascii="Times New Roman" w:hAnsi="Times New Roman"/>
          <w:color w:val="000000"/>
          <w:sz w:val="20"/>
        </w:rPr>
        <w:t xml:space="preserve"> </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A significant disruption in service on our websites or mobile applications could damage our reputation and result in a loss of consumers, which could harm our business, brands, operating results, and financial condition.</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could affect the security or availability of our marketplaces, and prevent or inhibit the ability of dealers and consumers to access our marketplaces. For example, past disruptions have impacted our ability to activate customer accounts and manage our billing activities in a timely manner. Such interruptions have resulted, and may in the future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Substantially all of the communications, network, and computer hardware used to operate our platforms is located in the Eastern region of the United States, and internationally near each of London, England, Dublin, Ireland, and Frankfurt, Germany. These facilities include hosting through Amazon Web Services, a provider of cloud infrastructure services. Although we can host our U.S. CarGurus’ marketplace from two alternative locations and we believe our systems are redundant, there may be exceptions for certain hardware or software. In addition, we do not own or control the operation of these facilities. Any disruptions or other operational performance problems with these facilities or problems faced by their operators, including our cloud infrastructure service provider, could result in material interruptions in our services, adversely affect our reputation and results of operations, and subject us to liability. We also use third-party hosting services to back up some data but do not maintain redundant systems or facilities for some of the services. A disruption to one or more of these systems has caused, and may in the future cause, us to experience an extended period of system unavailability, which could negatively impact our relationship with consumers, customers, and advertisers. Our systems and operations are vulnerable to damage or interruption from fire, flood, extreme weather conditions, power loss, telecommunications failure, terrorist attacks, acts of war, electronic breaches, cyber-attacks, phishing attempts, errors by employees,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Any errors, defects, disruptions, or other performance or reliability problems with our network operations could cause interruptions in access to our marketplaces as well as delays and additional expense in arranging new facilities and services and fixing or replacing any affected systems or hardware and could harm our reputation, business, brands,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and our third-party service providers, collect, process, store, transfer, share, disclose, and use consumer information and other data, and the actual or perceived failure of us or our third-party service providers to protect such information and data or respect users’ privacy could expose us to liability and adversely affect our reputation and brands and business and operating results.</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Some functions of our marketplaces involve the storage and transmission of consumers’ information, such as IP addresses, contact information of users who connect with dealers, credit applications and other financial data, and profile information of users who create accounts on our marketplaces, as well as dealers’ information. We also process and store personal and confidential information of our vendors, partners, and employees, and we employ third-party service providers, such as payment processing providers, who also regularly have access to customer and consumer data. Some of this information may be private, and security breaches against us or our third-party service providers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and we also rely on our third-party service providers to use sufficient security measures to protect such information. Despite all of our efforts to protect this information and data, none of our security measures or those of our third-party service providers provide absolute security, and they may not be effective in preventing a future failure of our systems. Like all information systems and technology, our websites, mobile applications, and information systems, and those of our third-party service providers, are subject to computer viruses, break-ins, phishing attacks, attempts to overload the systems with denial-of-service or other attacks, ransomware, and similar incidents or disruptions from unauthorized use of our or our third-party service providers’ computer systems, any of which could lead to interruptions, delays, or website shutdowns, and could cause loss of critical data and the unauthorized disclosure, access, acquisition, alteration, and use of personal or other confidential information. If we or our third-party service providers experience compromises to data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r>
        <w:rPr>
          <w:rFonts w:ascii="Times New Roman" w:hAnsi="Times New Roman"/>
          <w:color w:val="000000"/>
          <w:sz w:val="20"/>
        </w:rPr>
        <w:t xml:space="preserve"> </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disaster recovery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Any or all of the issues above could adversely affect our brand reputation, negatively impact our ability to attract new consumers, and increase engagement by existing consumers, cause existing consumers to reduce or stop the use of our marketplaces or close their accounts, cause existing dealers and advertisers to cancel their contracts, cause employees to terminate their employment, cause employment candidates to be unwilling to pursue employment opportunities or accept employment offers, and/or subject us to governmental or third-party lawsuits, investigations, regulatory fines, or other actions or liability, thereby harming our business, results of operations, and financial condition. Although we carry privacy, data breach, and network security liability insurance, we cannot be certain that our coverage will be adequate for liabilities actually incurred or sufficient to compensate us for the potentially significant losses, or that insurance will continue to be available to us on economically reasonable terms or at all.</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 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which we refer to collectively as the Privacy Regulations. The Privacy Regulations include, but are not limited to, the European Union’s, or EU, General Data Protection Regulation and the California Consumer Privacy Act. Certain of the Privacy Regulations have already required, and certain others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val="false"/>
          <w:color w:val="000000"/>
          <w:sz w:val="20"/>
        </w:rPr>
      </w:pPr>
      <w:r>
        <w:rPr>
          <w:rFonts w:ascii="Calibri;sans-serif" w:hAnsi="Calibri;sans-serif"/>
          <w:b w:val="false"/>
          <w:color w:val="000000"/>
          <w:sz w:val="20"/>
        </w:rPr>
        <w:t>Similarly, Brexit and the Schrems II decision of the Court of Justice of the EU, which effectively invalided the EU-U.S. Privacy Shield Framework,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Privacy Regulations and other statutory requirements.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data,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 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r>
        <w:rPr>
          <w:rFonts w:ascii="Times New Roman" w:hAnsi="Times New Roman"/>
          <w:color w:val="000000"/>
          <w:sz w:val="20"/>
        </w:rPr>
        <w:t xml:space="preserve"> </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have been, and may again be, subject to intellectual property disputes, which are costly to defend and could harm our business and operating results.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have been, and expect in the future to be, subject to claims and litigation alleging that we or content on our websites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which could require significant effort and expense and may ultimately not be successful.</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In addition, we use open source software in our platform and will use open source software in the future. From time to time, we may face claims regarding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Failure to adequately protect our intellectual property could harm our business and operating results.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Competitors may adopt trademarks or trade names similar to ours, thereby harming our ability to build brand identity and possibly leading to user confusion. In addition, there could be potential trade name or trademark infringement claims asserted against us by owners of other registered or unregistered trademarks logos or slogans, for our use of registered or unregistered trademarks, logos or slogans, or third-party trademarks that incorporate variations of our trademarks.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currently hold various internet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may be unable to halt the operations of websites that aggregate or misappropriate our data.</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We may be unable to detect and remedy all such activities in a timely and adequate manner.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Seasonality and other factors may cause fluctuations in our operating results and our marketing spend.</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This seasonality has not been immediately apparent historically due to the overall growth of other operating expenses. In addition, any reduction of our marketing spend in response to any macroeconomic-related expense management or otherwise, and shifts in demand from dealers and consumers could impact the efficiency of our marketing spend. As our growth rates moderate or cease, the impact of these seasonality trends and other influences on our results of operations could become more pronounced. In addition, the volume of wholesale vehicle sales can fluctuate from quarter to quarter as a result of macroeconomic issues, which may have a corresponding impact on our results of operations. This variability is due to several factors including the timing of used vehicles available for sale from selling customers, the seasonality of the retail market for used vehicles, and/or inventory challenges in the automotive industry, which affect the demand side of the wholesale industry. This variability has affected our Digital Wholesale segment in the past, and may continue to in the future.</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Failure to deal effectively with fraud or other illegal activity could harm our business.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now or in the future. Failure to limit the impact of fraudulent and illegal activity on our websites could lead to potential legal liability, harm our business, cause us to lose paying dealer customers, and adversely affect our reputation, financial performance, and growth prospects.</w:t>
      </w:r>
    </w:p>
    <w:p>
      <w:pPr>
        <w:pStyle w:val="TextBody"/>
        <w:bidi w:val="0"/>
        <w:spacing w:before="60" w:after="60"/>
        <w:jc w:val="both"/>
        <w:rPr>
          <w:rFonts w:ascii="Times New Roman" w:hAnsi="Times New Roman"/>
          <w:sz w:val="20"/>
        </w:rPr>
      </w:pPr>
      <w:r>
        <w:rPr>
          <w:rFonts w:ascii="Calibri;sans-serif" w:hAnsi="Calibri;sans-serif"/>
          <w:b/>
          <w:i/>
          <w:color w:val="000000"/>
          <w:sz w:val="20"/>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Class A common stock.</w:t>
      </w:r>
      <w:r>
        <w:rPr>
          <w:rFonts w:ascii="Times New Roman" w:hAnsi="Times New Roman"/>
          <w:color w:val="000000"/>
          <w:sz w:val="20"/>
        </w:rPr>
        <w:t xml:space="preserve"> </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Class A common stock.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have identified deficiencies in controls at our CarOffer subsidiary. These deficiencies include controls over (i) certain IT general controls for systems that are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val="false"/>
          <w:color w:val="000000"/>
          <w:sz w:val="20"/>
        </w:rPr>
      </w:pPr>
      <w:r>
        <w:rPr>
          <w:rFonts w:ascii="Calibri;sans-serif" w:hAnsi="Calibri;sans-serif"/>
          <w:b w:val="false"/>
          <w:color w:val="000000"/>
          <w:sz w:val="20"/>
        </w:rPr>
        <w:t>relevant to the preparation of our financial statements and (ii) our financial statement close process, which in the aggregate constitute a material weakness. While this material weakness did not result in a material misstatement of our financial statements, it could impact the effectiveness of our segregation of duties controls, as well as the effectiveness of IT-dependent controls, which could result in misstatement(s) impacting financial statement accounts and disclosures, resulting in a material misstatement of our annual or interim financial statements that we would have failed to prevent or detect. As a result of this material weakness, our management concluded that our disclosure controls and procedures were not effective as of September 30, 2023.</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have implemented a remediation plan designed to improve our internal control over financial reporting to remediate this material weakness. This remediation plan includes implementation of additional controls and procedures, including timely performance of user access and change management reviews, as well as an effective review of journal entries and accounts reconciliations. We cannot assure you that the measures we have taken to date, and actions we may take in the future, will be sufficient to remediate the control deficiencies that led to the material weakness in our internal control over financial reporting or that they will prevent or avoid potential future material weaknesses. If we are unable to successfully remediate the material weakness in our internal control over financial reporting, the accuracy and timing of our financial reporting may be adversely affected, investors could lose confidence in the accuracy and completeness of our financial reports, the market price of our Class A common stock could decline, we could be subject to sanctions or investigations by Nasdaq, the SEC, or other regulatory authorities, and our ability to access the capital markets could be limited.</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The 2022 Revolver contains certain covenants and other restrictions on our actions that may limit our operational flexibility or otherwise adversely affect our results of operations.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The 2022 Revolver includes a number of covenants that limit our ability to, among other things, grant or incur liens, incur additional indebtedness, make certain restricted investments or payments, enter into certain mergers and acquisitions, or engage in certain asset sales, subject in each case to certain exceptions. The 2022 Revolver also subjects us to financial covenants in respect of minimum liquidity and requires that we maintain a net leverage ratio. The 2022 Revolver may restrict our current and future operations and could adversely affect our ability to finance our future operations or capital needs. Complying with these covenants may make it more difficult for us to successfully execute our business strategy and compete against companies which are not subject to such restrictions. Further, interest rate fluctuations may materially adversely affect our results of operations and financial conditions due to the variable interest rate on the 2022 Revolver, in the event that we draw down funds thereunder.</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A failure by us to comply with the covenants or payment requirements specified in the 2022 Revolver could result in an event of default, which would give the lenders the right to terminate their commitments to provide loans under the 2022 Revolver and to declare any borrowings outstanding, together with any accrued and unpaid interest and fees, to be immediately due and payable. If any debt under the 2022 Revolver were to be accelerated, we may not have sufficient cash or be able to borrow sufficient funds to refinance the debt or sell sufficient assets to repay the debt, which could immediately adversely affect our business, cash flows, results of operations, and financial condition. Even if we were able to obtain new financing, it may not be on commercially reasonable terms or on terms that are acceptable to us. As of September 30, 2023, there were no amounts outstanding under the 2022 Revolver.</w:t>
      </w:r>
    </w:p>
    <w:p>
      <w:pPr>
        <w:pStyle w:val="TextBody"/>
        <w:bidi w:val="0"/>
        <w:spacing w:before="60" w:after="60"/>
        <w:jc w:val="both"/>
        <w:rPr>
          <w:rFonts w:ascii="Calibri;sans-serif" w:hAnsi="Calibri;sans-serif"/>
          <w:b/>
          <w:color w:val="000000"/>
          <w:sz w:val="20"/>
        </w:rPr>
      </w:pPr>
      <w:r>
        <w:rPr>
          <w:rFonts w:ascii="Calibri;sans-serif" w:hAnsi="Calibri;sans-serif"/>
          <w:b/>
          <w:color w:val="000000"/>
          <w:sz w:val="20"/>
        </w:rPr>
        <w:t>Risks Related to Our Class A Common Stock</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Our founder controls a majority of the voting power of our outstanding capital stock, and, therefore, has control over key decision-making and could control our actions in a manner that conflicts with the interests of other stockholders.</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Primarily by virtue of his holdings in shares of our Class B common stock, which has a ten-to-one voting ratio compared to our Class A common stock, Langley Steinert, our founder and Executive Chair,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 and his ability to control the election or replacement of our directors. As our Executive Chair,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capitalized terms are defined in our amended and restated certificate of incorporation, included as Exhibit 3.1 to our Annual Report), assuming the exercise and settlement in full of all outstanding options and convertible securities and calculated on an as-converted to Class A common stock basis, is less than 9,091,484</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val="false"/>
          <w:color w:val="000000"/>
          <w:sz w:val="20"/>
        </w:rPr>
      </w:pPr>
      <w:r>
        <w:rPr>
          <w:rFonts w:ascii="Calibri;sans-serif" w:hAnsi="Calibri;sans-serif"/>
          <w:b w:val="false"/>
          <w:color w:val="000000"/>
          <w:sz w:val="20"/>
        </w:rPr>
        <w:t>shares. As a stockholder, even a controlling stockholder, Mr. Steinert is entitled to vote his shares in his own interests, which may not always be aligned with the interests of our other stockholders.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our Class B common stock into Class A common stock in accordance with its terms, or otherwise, our business, or the trading price of our Class A common stock, may be adversely affected.</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 Additionally, transfers by holders of Class B common stock will generally result in those transferred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Our status as a “controlled company” could make our Class A common stock less attractive to some investors or otherwise harm the trading price of our Class A common stock.</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The trading price of our Class A common stock has been and may continue to be volatile and the value of our stockholders’ investment in our stock could decline.</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changes in the operating performance and stock market valuations of other technology companies generally, or those in our industry in particular; sales of shares of our Class A common stock by us or our stockholders; adverse changes to recommendations regarding our stock by covering securities analysts; failure of securities analysts to maintain coverage of us, changes in financial estimates by any securities analysts who follow us, or our failure to meet these estimates or the expectations of investors; announcements by us or our competitors of new products; the public’s reaction to our issuances of earnings guidance or other public announcements and filings; real or perceived inaccuracies in our key metrics; actions of an activist stockholder; actual or anticipated changes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public health emergencies; and general economic conditions.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cannot guarantee that our share repurchase programs will be fully implemented or that they will enhance stockholder value, and share repurchases could affect the price of our Class A common stock.</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From time to time our Board of Directors authorizes share repurchase programs, including the Share Repurchase Program and the 2024 Share Repurchase Program, or the Repurchase Programs. Share repurchases under the Repurchase Programs may be made through a variety of methods, and are subject to market and business conditions, levels of available liquidity, cash requirements for other purposes, regulatory, and other relevant factors. The timing, pricing, and size of share repurchases will depend on a number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val="false"/>
          <w:color w:val="000000"/>
          <w:sz w:val="20"/>
        </w:rPr>
      </w:pPr>
      <w:r>
        <w:rPr>
          <w:rFonts w:ascii="Calibri;sans-serif" w:hAnsi="Calibri;sans-serif"/>
          <w:b w:val="false"/>
          <w:color w:val="000000"/>
          <w:sz w:val="20"/>
        </w:rPr>
        <w:t>factors, including price, corporate and regulatory requirements, and general market and economic conditions. The Repurchase Programs do not obligate us to repurchase any minimum dollar amount or number of shares, and may be modified, suspended, or discontinued by our Board of Directors at any time, which may result in a decrease in the price of our Class A common stock.</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Repurchases under the Repurchase Programs will decrease the number of outstanding shares of our Class A common stock and therefore could affect the price of our Class A common stock and increase its volatility. The existence of the Repurchase Programs could also cause the price of our Class A common stock to be higher than it would be in the absence of such programs and could reduce the market liquidity for our Class A common stock. Repurchases under the Repurchase Programs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the Repurchase Programs are intended to enhance long-term stockholder value, short-term price fluctuations could reduce the effectiveness of the Repurchase Programs.</w:t>
      </w:r>
    </w:p>
    <w:p>
      <w:pPr>
        <w:pStyle w:val="TextBody"/>
        <w:bidi w:val="0"/>
        <w:spacing w:before="60" w:after="60"/>
        <w:jc w:val="both"/>
        <w:rPr>
          <w:rFonts w:ascii="Calibri;sans-serif" w:hAnsi="Calibri;sans-serif"/>
          <w:b/>
          <w:color w:val="000000"/>
          <w:sz w:val="20"/>
        </w:rPr>
      </w:pPr>
      <w:r>
        <w:rPr>
          <w:rFonts w:ascii="Calibri;sans-serif" w:hAnsi="Calibri;sans-serif"/>
          <w:b/>
          <w:color w:val="000000"/>
          <w:sz w:val="20"/>
        </w:rPr>
        <w:t>General Risk Factors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participate in a highly competitive market, and pressure from existing and new companies may adversely affect our business and operating results.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face significant competition from companies that provide listings, car-shopping information, lead generation, marketing, wholesale, and digital car-buying and -selling services designed to help consumers and dealers shop for cars and to enable dealers to reach these consumers. Our competitors include: online automotive marketplaces and websites; internet search engines; peer-to-peer marketplaces; social media marketplaces; sites operated by automobile dealers; online dealerships; and vehicle auction companies.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 Furthermore, 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must maintain proper and effective internal control over financial reporting and any failure to maintain the adequacy of these internal controls may adversely affect investor confidence in us and, as a result, the value of our Class A common stock.</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We are required, pursuant to Section 404 of the Sarbanes-Oxley Act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such as those described above. 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the material weakness described above and/or any future material weaknesses that may be identified, or to complete our evaluation, testing, and required remediation in a timely fashion. Our compliance with Section 404 requires us to incur substantial accounting expense and expend significant management efforts. 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both"/>
        <w:rPr>
          <w:rFonts w:ascii="Calibri;sans-serif" w:hAnsi="Calibri;sans-serif"/>
          <w:b w:val="false"/>
          <w:color w:val="000000"/>
          <w:sz w:val="20"/>
        </w:rPr>
      </w:pPr>
      <w:r>
        <w:rPr>
          <w:rFonts w:ascii="Calibri;sans-serif" w:hAnsi="Calibri;sans-serif"/>
          <w:b w:val="false"/>
          <w:color w:val="000000"/>
          <w:sz w:val="20"/>
        </w:rPr>
        <w:t>firm is unable to express an opinion on the effectiveness of our internal control over financial reporting, we could lose investor confidence in the accuracy and completeness of our financial reports, the market price of our Class A common stock could decline, and we could be subject to sanctions or investigations by Nasdaq, the SEC, or other regulatory authorities. Failure to remedy the material weakness described above and/or any future material weaknesses that may be identified, or to implement or maintain other effective control systems required of public companies, could also restrict our future access to the capital markets.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expect our results of operations to fluctuate on a quarterly and annual basis.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Our revenue and results of operations could vary significantly from period to period and may fail to match expectations as a result of a variety of factors, some of which are outside of our control, including macroeconomic issues, such as increased interest rates, and the lingering effects of the COVID-19 pandemic. Our results may vary as a result of fluctuations in the number of dealers subscribing to our marketplaces, the size and seasonal variability of our advertisers’ marketing budgets, and the impact of vehicle arbitrations, volume, and prices in a given period in connection with our IMCO product and the wholesale sale of automobiles.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covering analysts, which may adversely affect the trading price of our Class A common stock.</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We could be subject to adverse changes in tax laws, regulations, and interpretations, plus challenges to our tax positions.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recent U.S. Supreme Court and Massachusetts Supreme Court decisions, which could precipitate reactions that could adversely increase our tax administrative costs and tax risk, and negatively affect our overall business, results of operations, financial condition, and cash flows. We are also regularly subject to audits by tax authorities. Any adverse development or outcome in connection with any such tax audits, and any other audits or litigation, could materially and adversely impact our effective tax rate, tax payments, results of operations, financial condition, and cash flows.</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COVID-19 may adversely impact our business operations, financial performance, and results of operations.</w:t>
      </w:r>
    </w:p>
    <w:p>
      <w:pPr>
        <w:pStyle w:val="TextBody"/>
        <w:bidi w:val="0"/>
        <w:spacing w:before="60" w:after="60"/>
        <w:ind w:left="0" w:right="0" w:firstLine="490"/>
        <w:jc w:val="both"/>
        <w:rPr>
          <w:rFonts w:ascii="Times New Roman" w:hAnsi="Times New Roman"/>
          <w:sz w:val="20"/>
        </w:rPr>
      </w:pPr>
      <w:r>
        <w:rPr>
          <w:rFonts w:ascii="Calibri;sans-serif" w:hAnsi="Calibri;sans-serif"/>
          <w:b w:val="false"/>
          <w:color w:val="000000"/>
          <w:sz w:val="20"/>
        </w:rPr>
        <w:t>Our operations have been and may continue to be materially adversely affected by a range of factors related to COVID-19, including periodic changes in restrictions that vary from region to region in which we operate and may require rapid response to new or reinstated orders. Many of these restrictions resulted in, and, to the extent reinstated, may in the future result in, changes to our on-site work policies and restrictions on the ability of consumers to buy and sell automobiles by restricting operations at dealerships and/or by closing or reducing the services provided by certain service providers upon which dealerships rely. In addition, continued concern about the spread of COVID-19 has impacted car shopping by consumers and disrupted the operations of dealerships, which has adversely affected and may continue to adversely affect the market for automobile purchases.</w:t>
      </w:r>
      <w:r>
        <w:rPr>
          <w:rFonts w:ascii="Times New Roman" w:hAnsi="Times New Roman"/>
          <w:color w:val="000000"/>
          <w:sz w:val="20"/>
        </w:rPr>
        <w:t xml:space="preserve"> </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These effects from the COVID-19 pandemic on our revenue caused us to implement certain cost-savings measures across our business. Any future cost-savings measures implemented by us due to macroeconomic issues may affect our future business and operations and yield unintended consequences, such as loss of key employees, increased costs in hiring new employees, undesired attrition, and the risk that we may not achieve anticipated cost savings at the levels we expect, any of which may have a material adverse effect on our results of operations and/or financial condition.</w:t>
      </w:r>
    </w:p>
    <w:p>
      <w:pPr>
        <w:pStyle w:val="TextBody"/>
        <w:bidi w:val="0"/>
        <w:spacing w:before="60" w:after="60"/>
        <w:jc w:val="both"/>
        <w:rPr>
          <w:rFonts w:ascii="Calibri;sans-serif" w:hAnsi="Calibri;sans-serif"/>
          <w:b/>
          <w:i/>
          <w:color w:val="000000"/>
          <w:sz w:val="20"/>
        </w:rPr>
      </w:pPr>
      <w:r>
        <w:rPr>
          <w:rFonts w:ascii="Calibri;sans-serif" w:hAnsi="Calibri;sans-serif"/>
          <w:b/>
          <w:i/>
          <w:color w:val="000000"/>
          <w:sz w:val="20"/>
        </w:rPr>
        <w:t>The Russian invasion of Ukraine and the retaliatory measures imposed by the United States, the United Kingdom, the EU, and other countries and the responses of Russia to such measures have caused significant disruptions to domestic and foreign economies.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The Russia and Ukraine conflict had an immediate impact on the global economy resulting in higher prices for oil and other commodities, including vehicle components. Economic sanctions and bans, together with Russia’s own retaliatory measures, have disrupted supply chains and economic markets. The global impact of these measures is continually evolving and the future impact cannot be predicted with certainty. In particular, the Russia and Ukraine conflict has further impacted the ability of certain manufacturers to produce new vehicles and new vehicle parts, which may result in continued disruptions to the supply of new and used vehicles. There is no assurance that when the Russia and Ukraine conflict ends, countries will not continue to impose sanctions and bans.</w:t>
      </w:r>
    </w:p>
    <w:p>
      <w:pPr>
        <w:pStyle w:val="TextBody"/>
        <w:bidi w:val="0"/>
        <w:spacing w:before="60" w:after="60"/>
        <w:ind w:left="0" w:right="0" w:firstLine="490"/>
        <w:jc w:val="both"/>
        <w:rPr>
          <w:rFonts w:ascii="Calibri;sans-serif" w:hAnsi="Calibri;sans-serif"/>
          <w:b w:val="false"/>
          <w:color w:val="000000"/>
          <w:sz w:val="20"/>
        </w:rPr>
      </w:pPr>
      <w:r>
        <w:rPr>
          <w:rFonts w:ascii="Calibri;sans-serif" w:hAnsi="Calibri;sans-serif"/>
          <w:b w:val="false"/>
          <w:color w:val="000000"/>
          <w:sz w:val="20"/>
        </w:rPr>
        <w:t>While these events have not materially interrupted our operations, these or future developments resulting from the Russia and Ukraine conflict, such as a cyberattack on the United States or our suppliers, could disrupt our operations, our customers’ operations, or the activity of consumers on our websites.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Calibri;sans-serif" w:hAnsi="Calibri;sans-serif"/>
          <w:b/>
          <w:color w:val="000000"/>
          <w:sz w:val="20"/>
        </w:rPr>
      </w:pPr>
      <w:bookmarkStart w:id="17" w:name="item_2_unreg_sale_securities"/>
      <w:bookmarkEnd w:id="17"/>
      <w:r>
        <w:rPr>
          <w:rFonts w:ascii="Calibri;sans-serif" w:hAnsi="Calibri;sans-serif"/>
          <w:b/>
          <w:color w:val="000000"/>
          <w:sz w:val="20"/>
        </w:rPr>
        <w:t>Item 2. Unregistered Sales of Equity Securities, Use of Proceeds, and Issuer Purchases of Equity Securities.</w:t>
      </w:r>
    </w:p>
    <w:p>
      <w:pPr>
        <w:pStyle w:val="TextBody"/>
        <w:bidi w:val="0"/>
        <w:spacing w:before="120" w:after="283"/>
        <w:jc w:val="both"/>
        <w:rPr>
          <w:rFonts w:ascii="Calibri;sans-serif" w:hAnsi="Calibri;sans-serif"/>
          <w:b/>
          <w:i/>
          <w:color w:val="000000"/>
          <w:sz w:val="20"/>
        </w:rPr>
      </w:pPr>
      <w:r>
        <w:rPr>
          <w:rFonts w:ascii="Calibri;sans-serif" w:hAnsi="Calibri;sans-serif"/>
          <w:b/>
          <w:i/>
          <w:color w:val="000000"/>
          <w:sz w:val="20"/>
        </w:rPr>
        <w:t>Recent Sales of Unregistered Securities</w:t>
      </w:r>
    </w:p>
    <w:p>
      <w:pPr>
        <w:pStyle w:val="TextBody"/>
        <w:bidi w:val="0"/>
        <w:spacing w:before="120" w:after="283"/>
        <w:ind w:left="490" w:right="0" w:hanging="0"/>
        <w:jc w:val="both"/>
        <w:rPr>
          <w:rFonts w:ascii="Calibri;sans-serif" w:hAnsi="Calibri;sans-serif"/>
          <w:b w:val="false"/>
          <w:color w:val="000000"/>
          <w:sz w:val="20"/>
        </w:rPr>
      </w:pPr>
      <w:r>
        <w:rPr>
          <w:rFonts w:ascii="Calibri;sans-serif" w:hAnsi="Calibri;sans-serif"/>
          <w:b w:val="false"/>
          <w:color w:val="000000"/>
          <w:sz w:val="20"/>
        </w:rPr>
        <w:t>None.</w:t>
      </w:r>
    </w:p>
    <w:p>
      <w:pPr>
        <w:pStyle w:val="TextBody"/>
        <w:bidi w:val="0"/>
        <w:spacing w:before="120" w:after="283"/>
        <w:jc w:val="both"/>
        <w:rPr>
          <w:rFonts w:ascii="Calibri;sans-serif" w:hAnsi="Calibri;sans-serif"/>
          <w:b/>
          <w:i/>
          <w:color w:val="000000"/>
          <w:sz w:val="20"/>
        </w:rPr>
      </w:pPr>
      <w:r>
        <w:rPr>
          <w:rFonts w:ascii="Calibri;sans-serif" w:hAnsi="Calibri;sans-serif"/>
          <w:b/>
          <w:i/>
          <w:color w:val="000000"/>
          <w:sz w:val="20"/>
        </w:rPr>
        <w:t>Purchases of Equity Securities</w:t>
      </w:r>
    </w:p>
    <w:p>
      <w:pPr>
        <w:pStyle w:val="TextBody"/>
        <w:bidi w:val="0"/>
        <w:spacing w:before="12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following table summarizes information about our purchases of our Class A common stock equity securities for each of the months during the three months ended September 30, 2023:</w:t>
      </w:r>
    </w:p>
    <w:p>
      <w:pPr>
        <w:pStyle w:val="TextBody"/>
        <w:bidi w:val="0"/>
        <w:ind w:left="0" w:right="0" w:firstLine="490"/>
        <w:jc w:val="both"/>
        <w:rPr/>
      </w:pPr>
      <w:r>
        <w:rPr/>
        <w:t> </w:t>
      </w:r>
    </w:p>
    <w:tbl>
      <w:tblPr>
        <w:tblW w:w="10205" w:type="dxa"/>
        <w:jc w:val="left"/>
        <w:tblInd w:w="0" w:type="dxa"/>
        <w:tblLayout w:type="fixed"/>
        <w:tblCellMar>
          <w:top w:w="28" w:type="dxa"/>
          <w:left w:w="28" w:type="dxa"/>
          <w:bottom w:w="28" w:type="dxa"/>
          <w:right w:w="28" w:type="dxa"/>
        </w:tblCellMar>
      </w:tblPr>
      <w:tblGrid>
        <w:gridCol w:w="1662"/>
        <w:gridCol w:w="146"/>
        <w:gridCol w:w="221"/>
        <w:gridCol w:w="1185"/>
        <w:gridCol w:w="146"/>
        <w:gridCol w:w="146"/>
        <w:gridCol w:w="281"/>
        <w:gridCol w:w="1101"/>
        <w:gridCol w:w="146"/>
        <w:gridCol w:w="146"/>
        <w:gridCol w:w="319"/>
        <w:gridCol w:w="1709"/>
        <w:gridCol w:w="146"/>
        <w:gridCol w:w="146"/>
        <w:gridCol w:w="362"/>
        <w:gridCol w:w="1948"/>
        <w:gridCol w:w="395"/>
      </w:tblGrid>
      <w:tr>
        <w:trPr/>
        <w:tc>
          <w:tcPr>
            <w:tcW w:w="1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662" w:type="dxa"/>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Period</w:t>
            </w:r>
          </w:p>
        </w:tc>
        <w:tc>
          <w:tcPr>
            <w:tcW w:w="146" w:type="dxa"/>
            <w:tcBorders/>
            <w:shd w:fill="FFFFFF" w:val="cle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 Number of Shares of Common Stock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Weighted Average Price Paid per Share of Common Stock</w:t>
            </w:r>
            <w:r>
              <w:rPr>
                <w:rFonts w:ascii="Calibri;sans-serif" w:hAnsi="Calibr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Total Number of Shares of Common Stock Purchased as Part of Publicly Announced Plans or Programs</w:t>
            </w:r>
            <w:r>
              <w:rPr>
                <w:rFonts w:ascii="Calibri;sans-serif" w:hAnsi="Calibri;sans-serif"/>
                <w:b/>
                <w:color w:val="000000"/>
                <w:sz w:val="11"/>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 xml:space="preserve">Maximum Approximate Dollar Value of Shares of Common Stock that May Yet be Purchased Under the Plans or Programs </w:t>
              <w:br/>
              <w:t>(in thousands)</w:t>
            </w:r>
            <w:r>
              <w:rPr>
                <w:rFonts w:ascii="Calibri;sans-serif" w:hAnsi="Calibri;sans-serif"/>
                <w:b/>
                <w:color w:val="000000"/>
                <w:sz w:val="11"/>
              </w:rPr>
              <w:t>(2)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0" w:type="dxa"/>
            <w:gridSpan w:val="2"/>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ind w:left="0" w:right="0" w:firstLine="100"/>
              <w:jc w:val="center"/>
              <w:rPr/>
            </w:pPr>
            <w:r>
              <w:rPr/>
              <w:t> </w:t>
            </w:r>
          </w:p>
        </w:tc>
      </w:tr>
      <w:tr>
        <w:trPr/>
        <w:tc>
          <w:tcPr>
            <w:tcW w:w="1662"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Calibri;sans-serif" w:hAnsi="Calibri;sans-serif"/>
                <w:b w:val="false"/>
                <w:color w:val="000000"/>
                <w:sz w:val="20"/>
              </w:rPr>
              <w:t>July 1, 2023 through July 31, 2023</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7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2" w:type="dxa"/>
            <w:tcBorders/>
            <w:shd w:fill="CFF0FC" w:val="clear"/>
            <w:vAlign w:val="center"/>
          </w:tcPr>
          <w:p>
            <w:pPr>
              <w:pStyle w:val="TableContents"/>
              <w:bidi w:val="0"/>
              <w:spacing w:before="0" w:after="283"/>
              <w:jc w:val="left"/>
              <w:rPr/>
            </w:pPr>
            <w:r>
              <w:rPr/>
              <w:t> </w:t>
            </w:r>
          </w:p>
        </w:tc>
        <w:tc>
          <w:tcPr>
            <w:tcW w:w="1948"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144,190</w:t>
            </w:r>
          </w:p>
        </w:tc>
        <w:tc>
          <w:tcPr>
            <w:tcW w:w="395" w:type="dxa"/>
            <w:tcBorders/>
            <w:shd w:fill="CFF0FC" w:val="clear"/>
            <w:vAlign w:val="center"/>
          </w:tcPr>
          <w:p>
            <w:pPr>
              <w:pStyle w:val="TableContents"/>
              <w:bidi w:val="0"/>
              <w:spacing w:before="0" w:after="283"/>
              <w:ind w:left="0" w:right="0" w:firstLine="100"/>
              <w:jc w:val="left"/>
              <w:rPr/>
            </w:pPr>
            <w:r>
              <w:rPr/>
              <w:t> </w:t>
            </w:r>
          </w:p>
        </w:tc>
      </w:tr>
      <w:tr>
        <w:trPr/>
        <w:tc>
          <w:tcPr>
            <w:tcW w:w="1662"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Calibri;sans-serif" w:hAnsi="Calibri;sans-serif"/>
                <w:b w:val="false"/>
                <w:color w:val="000000"/>
                <w:sz w:val="20"/>
              </w:rPr>
              <w:t>August 1, 2023 through August 31, 2023</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470,739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709"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470,739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2"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135,712</w:t>
            </w:r>
          </w:p>
        </w:tc>
        <w:tc>
          <w:tcPr>
            <w:tcW w:w="395" w:type="dxa"/>
            <w:tcBorders/>
            <w:shd w:fill="FFFFFF" w:val="clear"/>
            <w:vAlign w:val="center"/>
          </w:tcPr>
          <w:p>
            <w:pPr>
              <w:pStyle w:val="TableContents"/>
              <w:bidi w:val="0"/>
              <w:spacing w:before="0" w:after="283"/>
              <w:ind w:left="0" w:right="0" w:firstLine="100"/>
              <w:jc w:val="left"/>
              <w:rPr/>
            </w:pPr>
            <w:r>
              <w:rPr/>
              <w:t> </w:t>
            </w:r>
          </w:p>
        </w:tc>
      </w:tr>
      <w:tr>
        <w:trPr/>
        <w:tc>
          <w:tcPr>
            <w:tcW w:w="1662"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Calibri;sans-serif" w:hAnsi="Calibri;sans-serif"/>
                <w:b w:val="false"/>
                <w:color w:val="000000"/>
                <w:sz w:val="20"/>
              </w:rPr>
              <w:t>September 1, 2023 through September 30, 2023</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485,509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485,509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2" w:type="dxa"/>
            <w:tcBorders/>
            <w:shd w:fill="CFF0FC" w:val="clear"/>
            <w:vAlign w:val="center"/>
          </w:tcPr>
          <w:p>
            <w:pPr>
              <w:pStyle w:val="TableContents"/>
              <w:bidi w:val="0"/>
              <w:spacing w:before="0" w:after="283"/>
              <w:jc w:val="left"/>
              <w:rPr/>
            </w:pPr>
            <w:r>
              <w:rPr/>
              <w:t> </w:t>
            </w:r>
          </w:p>
        </w:tc>
        <w:tc>
          <w:tcPr>
            <w:tcW w:w="1948" w:type="dxa"/>
            <w:tcBorders/>
            <w:shd w:fill="CFF0FC"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127,075</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662"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Calibri;sans-serif" w:hAnsi="Calibri;sans-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956,248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956,248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2"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right"/>
              <w:rPr>
                <w:rFonts w:ascii="Calibri;sans-serif" w:hAnsi="Calibri;sans-serif"/>
                <w:b w:val="false"/>
                <w:color w:val="000000"/>
                <w:sz w:val="20"/>
              </w:rPr>
            </w:pPr>
            <w:r>
              <w:rPr>
                <w:rFonts w:ascii="Calibri;sans-serif" w:hAnsi="Calibri;sans-serif"/>
                <w:b w:val="false"/>
                <w:color w:val="000000"/>
                <w:sz w:val="20"/>
              </w:rPr>
              <w:t>127,075</w:t>
            </w:r>
          </w:p>
        </w:tc>
        <w:tc>
          <w:tcPr>
            <w:tcW w:w="395" w:type="dxa"/>
            <w:tcBorders/>
            <w:shd w:fill="FFFFFF" w:val="clear"/>
            <w:vAlign w:val="center"/>
          </w:tcPr>
          <w:p>
            <w:pPr>
              <w:pStyle w:val="TableContents"/>
              <w:bidi w:val="0"/>
              <w:spacing w:before="0" w:after="283"/>
              <w:jc w:val="left"/>
              <w:rPr/>
            </w:pPr>
            <w:r>
              <w:rPr/>
              <w:t> </w:t>
            </w:r>
          </w:p>
        </w:tc>
      </w:tr>
    </w:tbl>
    <w:p>
      <w:pPr>
        <w:pStyle w:val="TextBody"/>
        <w:bidi w:val="0"/>
        <w:spacing w:before="120" w:after="283"/>
        <w:ind w:left="489" w:right="0" w:hanging="0"/>
        <w:jc w:val="both"/>
        <w:rPr>
          <w:rFonts w:ascii="Calibri" w:hAnsi="Calibri"/>
          <w:b w:val="false"/>
          <w:color w:val="000000"/>
          <w:sz w:val="20"/>
        </w:rPr>
      </w:pPr>
      <w:r>
        <w:rPr>
          <w:rFonts w:ascii="Calibri" w:hAnsi="Calibri"/>
          <w:b w:val="false"/>
          <w:color w:val="000000"/>
          <w:sz w:val="20"/>
        </w:rPr>
        <w:t>(1)</w:t>
      </w:r>
    </w:p>
    <w:p>
      <w:pPr>
        <w:pStyle w:val="TextBody"/>
        <w:bidi w:val="0"/>
        <w:spacing w:before="120" w:after="283"/>
        <w:jc w:val="both"/>
        <w:rPr>
          <w:rFonts w:ascii="Calibri;sans-serif" w:hAnsi="Calibri;sans-serif"/>
          <w:b w:val="false"/>
          <w:color w:val="000000"/>
          <w:sz w:val="13"/>
        </w:rPr>
      </w:pPr>
      <w:r>
        <w:rPr>
          <w:rFonts w:ascii="Calibri;sans-serif" w:hAnsi="Calibri;sans-serif"/>
          <w:b w:val="false"/>
          <w:color w:val="000000"/>
          <w:sz w:val="13"/>
        </w:rPr>
        <w:t>The weighted average price paid per share of Class A common stock does not include cost of commissions.</w:t>
      </w:r>
    </w:p>
    <w:p>
      <w:pPr>
        <w:pStyle w:val="TextBody"/>
        <w:bidi w:val="0"/>
        <w:spacing w:before="0" w:after="0"/>
        <w:ind w:left="489" w:right="0" w:hanging="0"/>
        <w:jc w:val="both"/>
        <w:rPr>
          <w:rFonts w:ascii="Calibri" w:hAnsi="Calibri"/>
          <w:b w:val="false"/>
          <w:color w:val="000000"/>
          <w:sz w:val="20"/>
        </w:rPr>
      </w:pPr>
      <w:r>
        <w:rPr>
          <w:rFonts w:ascii="Calibri" w:hAnsi="Calibri"/>
          <w:b w:val="false"/>
          <w:color w:val="000000"/>
          <w:sz w:val="20"/>
        </w:rPr>
        <w:t>(2)</w:t>
      </w:r>
    </w:p>
    <w:p>
      <w:pPr>
        <w:pStyle w:val="TextBody"/>
        <w:bidi w:val="0"/>
        <w:spacing w:before="0" w:after="0"/>
        <w:jc w:val="both"/>
        <w:rPr>
          <w:rFonts w:ascii="Calibri;sans-serif" w:hAnsi="Calibri;sans-serif"/>
          <w:b w:val="false"/>
          <w:color w:val="000000"/>
          <w:sz w:val="13"/>
        </w:rPr>
      </w:pPr>
      <w:r>
        <w:rPr>
          <w:rFonts w:ascii="Calibri;sans-serif" w:hAnsi="Calibri;sans-serif"/>
          <w:b w:val="false"/>
          <w:color w:val="000000"/>
          <w:sz w:val="13"/>
        </w:rPr>
        <w:t>On December 8, 2022, we announced that our Board of Directors authorized the Share Repurchase Program, pursuant to which we may, from time to time, purchase shares of our Class A common stock for an aggregate purchase price not to exceed $250.0 million. Share repurchases under the Share Repurchase Program may be made through a variety of methods, including but not limited to open market purchases, privately negotiated transactions, and transactions that may be effected pursuant to one or more plans under Rule 10b5-1 and/or Rule 10b-18 of the Exchange Act. The Share Repurchase Program does not obligate us to repurchase any minimum dollar amount or number of shares. The Share Repurchase Program has an expiration date of December 31, 2023, and prior to its expiration may be modified, suspended, or discontinued by our Board of Directors at any time without prior notice. All repurchased shares will be retired. We have funded share repurchases and expect to continue to fund any share repurchases through cash on hand and cash generated from operations. On November 7, 2023, we announced that our Board of Directors authorized the 2024 Share Repurchase Program, pursuant to which we may, from time to time, purchase shares of our Class A common stock for an aggregate purchase price not to exceed $250.0 million. Share repurchases under the 2024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2024 Share Repurchase Program does not obligate us to repurchase any minimum dollar amount or number of shares. The 2024 Share Repurchase Program has an effective date of January 1, 2024, and an expiration date of December 31, 2024, and prior to its expiration may be modified, suspended, or discontinued by our Board of Directors at any time without prior notice. All repurchased shares under the 2024 Share Repurchase Program will be retired. We expect to fund share repurchases under the 2024 Share Repurchase Program through cash on hand and cash generated from operations.</w:t>
      </w:r>
    </w:p>
    <w:p>
      <w:pPr>
        <w:pStyle w:val="TextBody"/>
        <w:bidi w:val="0"/>
        <w:spacing w:before="0" w:after="0"/>
        <w:ind w:left="489" w:right="0" w:hanging="0"/>
        <w:jc w:val="both"/>
        <w:rPr>
          <w:rFonts w:ascii="Calibri" w:hAnsi="Calibri"/>
          <w:b w:val="false"/>
          <w:color w:val="000000"/>
          <w:sz w:val="20"/>
        </w:rPr>
      </w:pPr>
      <w:r>
        <w:rPr>
          <w:rFonts w:ascii="Calibri" w:hAnsi="Calibri"/>
          <w:b w:val="false"/>
          <w:color w:val="000000"/>
          <w:sz w:val="20"/>
        </w:rPr>
        <w:t>(3)</w:t>
      </w:r>
    </w:p>
    <w:p>
      <w:pPr>
        <w:pStyle w:val="TextBody"/>
        <w:bidi w:val="0"/>
        <w:jc w:val="both"/>
        <w:rPr>
          <w:rFonts w:ascii="Calibri;sans-serif" w:hAnsi="Calibri;sans-serif"/>
          <w:b w:val="false"/>
          <w:color w:val="000000"/>
          <w:sz w:val="13"/>
        </w:rPr>
      </w:pPr>
      <w:r>
        <w:rPr>
          <w:rFonts w:ascii="Calibri;sans-serif" w:hAnsi="Calibri;sans-serif"/>
          <w:b w:val="false"/>
          <w:color w:val="000000"/>
          <w:sz w:val="13"/>
        </w:rPr>
        <w:t>The total number of shares of common stock purchased as part of the Share Repurchase Program was inclusive of any shares purchased but not settled as of September 30, 2023.</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b/>
          <w:color w:val="000000"/>
          <w:sz w:val="20"/>
        </w:rPr>
      </w:pPr>
      <w:bookmarkStart w:id="18" w:name="item_6_exhibits"/>
      <w:bookmarkEnd w:id="18"/>
      <w:r>
        <w:rPr>
          <w:rFonts w:ascii="Calibri;sans-serif" w:hAnsi="Calibri;sans-serif"/>
          <w:b/>
          <w:color w:val="000000"/>
          <w:sz w:val="20"/>
        </w:rPr>
        <w:t>Item 6. Exhibits.</w:t>
      </w:r>
    </w:p>
    <w:p>
      <w:pPr>
        <w:pStyle w:val="TextBody"/>
        <w:bidi w:val="0"/>
        <w:spacing w:before="12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The exhibits listed below are filed or incorporated by reference into this Quarterly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15"/>
        <w:gridCol w:w="146"/>
        <w:gridCol w:w="5342"/>
        <w:gridCol w:w="146"/>
        <w:gridCol w:w="466"/>
        <w:gridCol w:w="146"/>
        <w:gridCol w:w="676"/>
        <w:gridCol w:w="146"/>
        <w:gridCol w:w="481"/>
        <w:gridCol w:w="146"/>
        <w:gridCol w:w="676"/>
        <w:gridCol w:w="146"/>
        <w:gridCol w:w="973"/>
      </w:tblGrid>
      <w:tr>
        <w:trPr/>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3"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Incorporated by Reference</w:t>
            </w:r>
          </w:p>
        </w:tc>
        <w:tc>
          <w:tcPr>
            <w:tcW w:w="97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15" w:type="dxa"/>
            <w:tcBorders/>
            <w:vAlign w:val="center"/>
          </w:tcPr>
          <w:p>
            <w:pPr>
              <w:pStyle w:val="TableContents"/>
              <w:bidi w:val="0"/>
              <w:jc w:val="left"/>
              <w:rPr>
                <w:rFonts w:ascii="Calibri;sans-serif" w:hAnsi="Calibri;sans-serif"/>
                <w:b/>
                <w:color w:val="000000"/>
                <w:sz w:val="16"/>
              </w:rPr>
            </w:pPr>
            <w:r>
              <w:rPr>
                <w:rFonts w:ascii="Calibri;sans-serif" w:hAnsi="Calibri;sans-serif"/>
                <w:b/>
                <w:color w:val="000000"/>
                <w:sz w:val="16"/>
              </w:rPr>
              <w:t>Exhibit</w:t>
            </w:r>
          </w:p>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Number</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Exhibit Description</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Form</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File</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Number</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Filing</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Date</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Exhibit</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Number</w:t>
            </w:r>
          </w:p>
        </w:tc>
        <w:tc>
          <w:tcPr>
            <w:tcW w:w="146" w:type="dxa"/>
            <w:tcBorders/>
            <w:vAlign w:val="center"/>
          </w:tcPr>
          <w:p>
            <w:pPr>
              <w:pStyle w:val="TableContents"/>
              <w:bidi w:val="0"/>
              <w:spacing w:before="0" w:after="283"/>
              <w:jc w:val="center"/>
              <w:rPr/>
            </w:pPr>
            <w:r>
              <w:rPr/>
              <w:t> </w:t>
            </w:r>
          </w:p>
        </w:tc>
        <w:tc>
          <w:tcPr>
            <w:tcW w:w="973"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Filed or Furnished</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Herewith</w:t>
            </w:r>
          </w:p>
        </w:tc>
      </w:tr>
      <w:tr>
        <w:trPr/>
        <w:tc>
          <w:tcPr>
            <w:tcW w:w="715"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31.1</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pPr>
            <w:hyperlink w:anchor="carg-ex31_1.htm">
              <w:r>
                <w:rPr>
                  <w:rStyle w:val="InternetLink"/>
                  <w:rFonts w:ascii="Calibri;sans-serif" w:hAnsi="Calibri;sans-serif"/>
                  <w:b w:val="false"/>
                  <w:color w:val="0000FF"/>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3" w:type="dxa"/>
            <w:tcBorders/>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X</w:t>
            </w:r>
          </w:p>
        </w:tc>
      </w:tr>
      <w:tr>
        <w:trPr/>
        <w:tc>
          <w:tcPr>
            <w:tcW w:w="715"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32.1*</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pPr>
            <w:hyperlink w:anchor="carg-ex32_1.htm">
              <w:r>
                <w:rPr>
                  <w:rStyle w:val="InternetLink"/>
                  <w:rFonts w:ascii="Calibri;sans-serif" w:hAnsi="Calibri;sans-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3" w:type="dxa"/>
            <w:tcBorders/>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X</w:t>
            </w:r>
          </w:p>
        </w:tc>
      </w:tr>
      <w:tr>
        <w:trPr/>
        <w:tc>
          <w:tcPr>
            <w:tcW w:w="715"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101.INS</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Inline XBRL Instance Document – the instance document does not appear in the Interactive Data File because its XBRL tags are embedded with the Inline XBRL document.</w:t>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3" w:type="dxa"/>
            <w:tcBorders/>
            <w:vAlign w:val="center"/>
          </w:tcPr>
          <w:p>
            <w:pPr>
              <w:pStyle w:val="TableContents"/>
              <w:bidi w:val="0"/>
              <w:spacing w:before="0" w:after="283"/>
              <w:jc w:val="center"/>
              <w:rPr/>
            </w:pPr>
            <w:r>
              <w:rPr/>
              <w:t> </w:t>
            </w:r>
          </w:p>
        </w:tc>
      </w:tr>
      <w:tr>
        <w:trPr/>
        <w:tc>
          <w:tcPr>
            <w:tcW w:w="715"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101.SCH</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3" w:type="dxa"/>
            <w:tcBorders/>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X</w:t>
            </w:r>
          </w:p>
        </w:tc>
      </w:tr>
      <w:tr>
        <w:trPr/>
        <w:tc>
          <w:tcPr>
            <w:tcW w:w="715"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101.CAL</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3" w:type="dxa"/>
            <w:tcBorders/>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X</w:t>
            </w:r>
          </w:p>
        </w:tc>
      </w:tr>
      <w:tr>
        <w:trPr/>
        <w:tc>
          <w:tcPr>
            <w:tcW w:w="715"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101.DEF</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3" w:type="dxa"/>
            <w:tcBorders/>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X</w:t>
            </w:r>
          </w:p>
        </w:tc>
      </w:tr>
      <w:tr>
        <w:trPr/>
        <w:tc>
          <w:tcPr>
            <w:tcW w:w="715"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101.LAB</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Inline XBRL Taxonomy Extension Label Linkbase Document.</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3" w:type="dxa"/>
            <w:tcBorders/>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X</w:t>
            </w:r>
          </w:p>
        </w:tc>
      </w:tr>
      <w:tr>
        <w:trPr/>
        <w:tc>
          <w:tcPr>
            <w:tcW w:w="715"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101.PRE</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3" w:type="dxa"/>
            <w:tcBorders/>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X</w:t>
            </w:r>
          </w:p>
        </w:tc>
      </w:tr>
      <w:tr>
        <w:trPr/>
        <w:tc>
          <w:tcPr>
            <w:tcW w:w="715"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146"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(Embedded within the Inline XBRL document and included in Exhibit)</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X</w:t>
            </w:r>
          </w:p>
        </w:tc>
      </w:tr>
    </w:tbl>
    <w:p>
      <w:pPr>
        <w:pStyle w:val="TextBody"/>
        <w:bidi w:val="0"/>
        <w:jc w:val="left"/>
        <w:rPr/>
      </w:pPr>
      <w:r>
        <w:rPr/>
        <w:t> </w:t>
      </w:r>
    </w:p>
    <w:p>
      <w:pPr>
        <w:pStyle w:val="TextBody"/>
        <w:pBdr>
          <w:bottom w:val="single" w:sz="4" w:space="1" w:color="000000"/>
        </w:pBdr>
        <w:bidi w:val="0"/>
        <w:ind w:left="0" w:right="9000" w:hanging="0"/>
        <w:jc w:val="left"/>
        <w:rPr/>
      </w:pPr>
      <w:r>
        <w:rPr/>
        <w:t> </w:t>
      </w:r>
    </w:p>
    <w:p>
      <w:pPr>
        <w:pStyle w:val="TextBody"/>
        <w:bidi w:val="0"/>
        <w:spacing w:before="40" w:after="283"/>
        <w:jc w:val="both"/>
        <w:rPr>
          <w:rFonts w:ascii="Calibri;sans-serif" w:hAnsi="Calibri;sans-serif"/>
          <w:b w:val="false"/>
          <w:color w:val="000000"/>
          <w:sz w:val="20"/>
        </w:rPr>
      </w:pPr>
      <w:r>
        <w:rPr>
          <w:rFonts w:ascii="Calibri;sans-serif" w:hAnsi="Calibri;sans-serif"/>
          <w:b w:val="false"/>
          <w:color w:val="000000"/>
          <w:sz w:val="20"/>
        </w:rPr>
        <w:t>* The certification furnished in Exhibit 32.1 hereto is deemed to accompany this Quarterly Report and will not be deemed “filed” for purposes of Section 18 of the Securities Exchange Act of 1934, as amended, except to the extent that the registrant specifically incorporates it by reference.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19" w:name="signatures"/>
      <w:bookmarkEnd w:id="19"/>
      <w:r>
        <w:rPr>
          <w:rFonts w:ascii="Calibri;sans-serif" w:hAnsi="Calibri;sans-serif"/>
          <w:b/>
          <w:color w:val="000000"/>
          <w:sz w:val="20"/>
        </w:rPr>
        <w:t>SIGNATURES</w:t>
      </w:r>
    </w:p>
    <w:p>
      <w:pPr>
        <w:pStyle w:val="TextBody"/>
        <w:bidi w:val="0"/>
        <w:spacing w:before="240" w:after="283"/>
        <w:ind w:left="0" w:right="0" w:firstLine="490"/>
        <w:jc w:val="both"/>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9502" w:type="dxa"/>
        <w:jc w:val="left"/>
        <w:tblInd w:w="0" w:type="dxa"/>
        <w:tblLayout w:type="fixed"/>
        <w:tblCellMar>
          <w:top w:w="28" w:type="dxa"/>
          <w:left w:w="28" w:type="dxa"/>
          <w:bottom w:w="28" w:type="dxa"/>
          <w:right w:w="28" w:type="dxa"/>
        </w:tblCellMar>
      </w:tblPr>
      <w:tblGrid>
        <w:gridCol w:w="2056"/>
        <w:gridCol w:w="109"/>
        <w:gridCol w:w="346"/>
        <w:gridCol w:w="699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CarGurus, Inc.</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69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/s/ 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1" w:type="dxa"/>
            <w:tcBorders/>
            <w:shd w:fill="FFFFFF" w:val="clear"/>
            <w:tcMar>
              <w:top w:w="0" w:type="dxa"/>
              <w:left w:w="0" w:type="dxa"/>
              <w:bottom w:w="0" w:type="dxa"/>
              <w:right w:w="0" w:type="dxa"/>
            </w:tcMar>
            <w:vAlign w:val="center"/>
          </w:tcPr>
          <w:p>
            <w:pPr>
              <w:pStyle w:val="TableContents"/>
              <w:bidi w:val="0"/>
              <w:jc w:val="left"/>
              <w:rPr>
                <w:rFonts w:ascii="Calibri;sans-serif" w:hAnsi="Calibri;sans-serif"/>
                <w:b w:val="false"/>
                <w:color w:val="000000"/>
                <w:sz w:val="20"/>
              </w:rPr>
            </w:pPr>
            <w:r>
              <w:rPr>
                <w:rFonts w:ascii="Calibri;sans-serif" w:hAnsi="Calibri;sans-serif"/>
                <w:b w:val="false"/>
                <w:color w:val="000000"/>
                <w:sz w:val="20"/>
              </w:rPr>
              <w:t>Chief Executive Officer</w:t>
            </w:r>
          </w:p>
          <w:p>
            <w:pPr>
              <w:pStyle w:val="TableContents"/>
              <w:bidi w:val="0"/>
              <w:spacing w:before="0" w:after="283"/>
              <w:jc w:val="left"/>
              <w:rPr>
                <w:rFonts w:ascii="Calibri;sans-serif" w:hAnsi="Calibri;sans-serif"/>
                <w:b w:val="false"/>
                <w:i/>
                <w:color w:val="000000"/>
                <w:sz w:val="20"/>
              </w:rPr>
            </w:pPr>
            <w:r>
              <w:rPr>
                <w:rFonts w:ascii="Calibri;sans-serif" w:hAnsi="Calibri;sans-serif"/>
                <w:b w:val="false"/>
                <w:i/>
                <w:color w:val="000000"/>
                <w:sz w:val="20"/>
              </w:rPr>
              <w:t>(Principal Executive Officer, Principal Financial Officer and Principal Accounting Officer)</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bookmarkStart w:id="20" w:name="carg-ex31_1.htm"/>
      <w:bookmarkStart w:id="21" w:name="kscargex31_1"/>
      <w:bookmarkEnd w:id="20"/>
      <w:bookmarkEnd w:id="21"/>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jc w:val="center"/>
        <w:rPr>
          <w:rFonts w:ascii="Calibri;sans-serif" w:hAnsi="Calibri;sans-serif"/>
          <w:b/>
          <w:color w:val="000000"/>
          <w:sz w:val="20"/>
        </w:rPr>
      </w:pPr>
      <w:r>
        <w:rPr>
          <w:rFonts w:ascii="Calibri;sans-serif" w:hAnsi="Calibri;sans-serif"/>
          <w:b/>
          <w:color w:val="000000"/>
          <w:sz w:val="20"/>
        </w:rPr>
        <w:t>AS ADOPTED PURSUANT TO SECTION 302 OF THE SARBANES-OXLEY ACT OF 2002</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I, Jason Trevisan,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I have reviewed this Quarterly Report on Form 10-Q of CarGurus,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Calibri" w:hAnsi="Calibri"/>
          <w:b w:val="false"/>
          <w:color w:val="000000"/>
          <w:sz w:val="20"/>
        </w:rPr>
      </w:pPr>
      <w:r>
        <w:rPr>
          <w:rFonts w:ascii="Calibri" w:hAnsi="Calibri"/>
          <w:b w:val="false"/>
          <w:color w:val="000000"/>
          <w:sz w:val="20"/>
        </w:rPr>
        <w:t>(a)</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Calibri" w:hAnsi="Calibri"/>
          <w:b w:val="false"/>
          <w:color w:val="000000"/>
          <w:sz w:val="20"/>
        </w:rPr>
      </w:pPr>
      <w:r>
        <w:rPr>
          <w:rFonts w:ascii="Calibri" w:hAnsi="Calibri"/>
          <w:b w:val="false"/>
          <w:color w:val="000000"/>
          <w:sz w:val="20"/>
        </w:rPr>
        <w:t>(b)</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Calibri" w:hAnsi="Calibri"/>
          <w:b w:val="false"/>
          <w:color w:val="000000"/>
          <w:sz w:val="20"/>
        </w:rPr>
      </w:pPr>
      <w:r>
        <w:rPr>
          <w:rFonts w:ascii="Calibri" w:hAnsi="Calibri"/>
          <w:b w:val="false"/>
          <w:color w:val="000000"/>
          <w:sz w:val="20"/>
        </w:rPr>
        <w:t>(c)</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Calibri" w:hAnsi="Calibri"/>
          <w:b w:val="false"/>
          <w:color w:val="000000"/>
          <w:sz w:val="20"/>
        </w:rPr>
      </w:pPr>
      <w:r>
        <w:rPr>
          <w:rFonts w:ascii="Calibri" w:hAnsi="Calibri"/>
          <w:b w:val="false"/>
          <w:color w:val="000000"/>
          <w:sz w:val="20"/>
        </w:rPr>
        <w:t>(d)</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Calibri" w:hAnsi="Calibri"/>
          <w:b w:val="false"/>
          <w:color w:val="000000"/>
          <w:sz w:val="20"/>
        </w:rPr>
      </w:pPr>
      <w:r>
        <w:rPr>
          <w:rFonts w:ascii="Calibri" w:hAnsi="Calibri"/>
          <w:b w:val="false"/>
          <w:color w:val="000000"/>
          <w:sz w:val="20"/>
        </w:rPr>
        <w:t>(a)</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Calibri" w:hAnsi="Calibri"/>
          <w:b w:val="false"/>
          <w:color w:val="000000"/>
          <w:sz w:val="20"/>
        </w:rPr>
      </w:pPr>
      <w:r>
        <w:rPr>
          <w:rFonts w:ascii="Calibri" w:hAnsi="Calibri"/>
          <w:b w:val="false"/>
          <w:color w:val="000000"/>
          <w:sz w:val="20"/>
        </w:rPr>
        <w:t>(b)</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7207" w:type="dxa"/>
        <w:jc w:val="left"/>
        <w:tblInd w:w="0" w:type="dxa"/>
        <w:tblLayout w:type="fixed"/>
        <w:tblCellMar>
          <w:top w:w="28" w:type="dxa"/>
          <w:left w:w="28" w:type="dxa"/>
          <w:bottom w:w="28" w:type="dxa"/>
          <w:right w:w="28" w:type="dxa"/>
        </w:tblCellMar>
      </w:tblPr>
      <w:tblGrid>
        <w:gridCol w:w="2056"/>
        <w:gridCol w:w="109"/>
        <w:gridCol w:w="346"/>
        <w:gridCol w:w="4696"/>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4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/s/ 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Calibri;sans-serif" w:hAnsi="Calibri;sans-serif"/>
                <w:b w:val="false"/>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(Principal Executive Officer and Principal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carg-ex32_1.htm"/>
      <w:bookmarkStart w:id="23" w:name="kscargex32_1"/>
      <w:bookmarkEnd w:id="22"/>
      <w:bookmarkEnd w:id="23"/>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240" w:after="283"/>
        <w:ind w:left="0" w:right="0" w:firstLine="490"/>
        <w:jc w:val="left"/>
        <w:rPr>
          <w:rFonts w:ascii="Calibri;sans-serif" w:hAnsi="Calibri;sans-serif"/>
          <w:b w:val="false"/>
          <w:color w:val="000000"/>
          <w:sz w:val="20"/>
        </w:rPr>
      </w:pPr>
      <w:r>
        <w:rPr>
          <w:rFonts w:ascii="Calibri;sans-serif" w:hAnsi="Calibri;sans-serif"/>
          <w:b w:val="false"/>
          <w:color w:val="000000"/>
          <w:sz w:val="20"/>
        </w:rPr>
        <w:t>In connection with the Quarterly Report on Form 10-Q of CarGurus, Inc. (the “Company”) for the period ending September 30, 2023 as filed with the Securities and Exchange Commission on the date hereof (the “Report”), I, Jason Trevisan, Chief Executive Officer of the Company, certify, pursuant to 18 U.S.C. § 1350, as adopted pursuant to § 906 of the Sarbanes-Oxley Act of 2002, that, based on my knowledge:</w:t>
      </w:r>
    </w:p>
    <w:p>
      <w:pPr>
        <w:pStyle w:val="TextBody"/>
        <w:bidi w:val="0"/>
        <w:spacing w:before="240" w:after="283"/>
        <w:ind w:left="489" w:right="0" w:hanging="0"/>
        <w:jc w:val="left"/>
        <w:rPr>
          <w:rFonts w:ascii="Calibri" w:hAnsi="Calibri"/>
          <w:b w:val="false"/>
          <w:color w:val="000000"/>
          <w:sz w:val="20"/>
        </w:rPr>
      </w:pPr>
      <w:r>
        <w:rPr>
          <w:rFonts w:ascii="Calibri" w:hAnsi="Calibri"/>
          <w:b w:val="false"/>
          <w:color w:val="000000"/>
          <w:sz w:val="20"/>
        </w:rPr>
        <w:t>(1)</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Calibri" w:hAnsi="Calibri"/>
          <w:b w:val="false"/>
          <w:color w:val="000000"/>
          <w:sz w:val="20"/>
        </w:rPr>
      </w:pPr>
      <w:r>
        <w:rPr>
          <w:rFonts w:ascii="Calibri" w:hAnsi="Calibri"/>
          <w:b w:val="false"/>
          <w:color w:val="000000"/>
          <w:sz w:val="20"/>
        </w:rPr>
        <w:t>(2)</w:t>
      </w:r>
    </w:p>
    <w:p>
      <w:pPr>
        <w:pStyle w:val="TextBody"/>
        <w:bidi w:val="0"/>
        <w:spacing w:before="240" w:after="283"/>
        <w:jc w:val="left"/>
        <w:rPr>
          <w:rFonts w:ascii="Calibri;sans-serif" w:hAnsi="Calibri;sans-serif"/>
          <w:b w:val="false"/>
          <w:color w:val="000000"/>
          <w:sz w:val="20"/>
        </w:rPr>
      </w:pPr>
      <w:r>
        <w:rPr>
          <w:rFonts w:ascii="Calibri;sans-serif" w:hAnsi="Calibri;sans-serif"/>
          <w:b w:val="false"/>
          <w:color w:val="000000"/>
          <w:sz w:val="20"/>
        </w:rPr>
        <w:t>The information contained in the Report fairly presents, in all material respects, the financial condition and results of operations of the Company.</w:t>
      </w:r>
    </w:p>
    <w:p>
      <w:pPr>
        <w:pStyle w:val="TextBody"/>
        <w:pBdr/>
        <w:bidi w:val="0"/>
        <w:ind w:left="0" w:right="0" w:hanging="490"/>
        <w:jc w:val="left"/>
        <w:rPr/>
      </w:pPr>
      <w:r>
        <w:rPr/>
        <w:t> </w:t>
      </w:r>
    </w:p>
    <w:tbl>
      <w:tblPr>
        <w:tblW w:w="7207" w:type="dxa"/>
        <w:jc w:val="left"/>
        <w:tblInd w:w="0" w:type="dxa"/>
        <w:tblLayout w:type="fixed"/>
        <w:tblCellMar>
          <w:top w:w="28" w:type="dxa"/>
          <w:left w:w="28" w:type="dxa"/>
          <w:bottom w:w="28" w:type="dxa"/>
          <w:right w:w="28" w:type="dxa"/>
        </w:tblCellMar>
      </w:tblPr>
      <w:tblGrid>
        <w:gridCol w:w="2056"/>
        <w:gridCol w:w="109"/>
        <w:gridCol w:w="346"/>
        <w:gridCol w:w="4696"/>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4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/s/ 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Calibri;sans-serif" w:hAnsi="Calibri;sans-serif"/>
                <w:b w:val="false"/>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Calibri;sans-serif" w:hAnsi="Calibri;sans-serif"/>
                <w:b w:val="false"/>
                <w:color w:val="000000"/>
                <w:sz w:val="20"/>
              </w:rPr>
            </w:pPr>
            <w:r>
              <w:rPr>
                <w:rFonts w:ascii="Calibri;sans-serif" w:hAnsi="Calibri;sans-serif"/>
                <w:b w:val="false"/>
                <w:color w:val="000000"/>
                <w:sz w:val="20"/>
              </w:rPr>
              <w:t>(Principal Executive Officer and 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45571</Words>
  <Characters>255133</Characters>
  <CharactersWithSpaces>303704</CharactersWithSpaces>
  <Paragraphs>10882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