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arg-20240630.htm"/>
      <w:bookmarkStart w:id="1" w:name="kscarg20240630"/>
      <w:bookmarkEnd w:id="0"/>
      <w:bookmarkEnd w:id="1"/>
      <w:r>
        <w:rPr/>
        <w:t> </w:t>
      </w:r>
    </w:p>
    <w:p>
      <w:pPr>
        <w:pStyle w:val="TextBody"/>
        <w:bidi w:val="0"/>
        <w:spacing w:before="40" w:after="283"/>
        <w:jc w:val="center"/>
        <w:rPr>
          <w:rFonts w:ascii="Calibri;sans-serif" w:hAnsi="Calibri;sans-serif"/>
          <w:b/>
          <w:color w:val="000000"/>
          <w:sz w:val="36"/>
        </w:rPr>
      </w:pPr>
      <w:r>
        <w:rPr>
          <w:rFonts w:ascii="Calibri;sans-serif" w:hAnsi="Calibri;sans-serif"/>
          <w:b/>
          <w:color w:val="000000"/>
          <w:sz w:val="36"/>
        </w:rPr>
        <w:t>UNITED STATES</w:t>
      </w:r>
    </w:p>
    <w:p>
      <w:pPr>
        <w:pStyle w:val="TextBody"/>
        <w:bidi w:val="0"/>
        <w:jc w:val="center"/>
        <w:rPr>
          <w:rFonts w:ascii="Calibri;sans-serif" w:hAnsi="Calibri;sans-serif"/>
          <w:b/>
          <w:color w:val="000000"/>
          <w:sz w:val="36"/>
        </w:rPr>
      </w:pPr>
      <w:r>
        <w:rPr>
          <w:rFonts w:ascii="Calibri;sans-serif" w:hAnsi="Calibri;sans-serif"/>
          <w:b/>
          <w:color w:val="000000"/>
          <w:sz w:val="36"/>
        </w:rPr>
        <w:t>SECURITIES AND EXCHANGE COMMISSION</w:t>
      </w:r>
    </w:p>
    <w:p>
      <w:pPr>
        <w:pStyle w:val="TextBody"/>
        <w:bidi w:val="0"/>
        <w:jc w:val="center"/>
        <w:rPr>
          <w:rFonts w:ascii="Calibri;sans-serif" w:hAnsi="Calibri;sans-serif"/>
          <w:b/>
          <w:color w:val="000000"/>
          <w:sz w:val="24"/>
        </w:rPr>
      </w:pPr>
      <w:r>
        <w:rPr>
          <w:rFonts w:ascii="Calibri;sans-serif" w:hAnsi="Calibri;sans-serif"/>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Calibri;sans-serif" w:hAnsi="Calibri;sans-serif"/>
          <w:b/>
          <w:color w:val="000000"/>
          <w:sz w:val="36"/>
        </w:rPr>
      </w:pPr>
      <w:r>
        <w:rPr>
          <w:rFonts w:ascii="Calibri;sans-serif" w:hAnsi="Calibri;sans-serif"/>
          <w:b/>
          <w:color w:val="000000"/>
          <w:sz w:val="36"/>
        </w:rPr>
        <w:t>FORM 10-Q</w:t>
      </w:r>
    </w:p>
    <w:p>
      <w:pPr>
        <w:pStyle w:val="TextBody"/>
        <w:pBdr>
          <w:bottom w:val="single" w:sz="4" w:space="1" w:color="000000"/>
        </w:pBdr>
        <w:bidi w:val="0"/>
        <w:jc w:val="center"/>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4"/>
              </w:rPr>
            </w:pPr>
            <w:r>
              <w:rPr>
                <w:rFonts w:ascii="Calibri;sans-serif" w:hAnsi="Calibri;sans-serif"/>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For the quarterly period ended June 30, 2024</w:t>
      </w:r>
    </w:p>
    <w:p>
      <w:pPr>
        <w:pStyle w:val="TextBody"/>
        <w:bidi w:val="0"/>
        <w:spacing w:before="80" w:after="283"/>
        <w:jc w:val="center"/>
        <w:rPr>
          <w:rFonts w:ascii="Calibri;sans-serif" w:hAnsi="Calibri;sans-serif"/>
          <w:b/>
          <w:color w:val="000000"/>
          <w:sz w:val="20"/>
        </w:rPr>
      </w:pPr>
      <w:r>
        <w:rPr>
          <w:rFonts w:ascii="Calibri;sans-serif" w:hAnsi="Calibri;sans-serif"/>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4"/>
              </w:rPr>
            </w:pPr>
            <w:r>
              <w:rPr>
                <w:rFonts w:ascii="Calibri;sans-serif" w:hAnsi="Calibri;sans-serif"/>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For the transition period from _________________ to _________________</w:t>
      </w:r>
    </w:p>
    <w:p>
      <w:pPr>
        <w:pStyle w:val="TextBody"/>
        <w:bidi w:val="0"/>
        <w:spacing w:before="80" w:after="283"/>
        <w:jc w:val="center"/>
        <w:rPr>
          <w:rFonts w:ascii="Calibri;sans-serif" w:hAnsi="Calibri;sans-serif"/>
          <w:b/>
          <w:color w:val="000000"/>
          <w:sz w:val="20"/>
        </w:rPr>
      </w:pPr>
      <w:r>
        <w:rPr>
          <w:rFonts w:ascii="Calibri;sans-serif" w:hAnsi="Calibri;sans-serif"/>
          <w:b/>
          <w:color w:val="000000"/>
          <w:sz w:val="20"/>
        </w:rPr>
        <w:t>Commission File Number: 001-38233</w:t>
      </w:r>
    </w:p>
    <w:p>
      <w:pPr>
        <w:pStyle w:val="TextBody"/>
        <w:pBdr>
          <w:bottom w:val="single" w:sz="4" w:space="1" w:color="000000"/>
        </w:pBdr>
        <w:bidi w:val="0"/>
        <w:spacing w:before="0" w:after="80"/>
        <w:jc w:val="center"/>
        <w:rPr/>
      </w:pPr>
      <w:r>
        <w:rPr/>
        <w:t> </w:t>
      </w:r>
    </w:p>
    <w:p>
      <w:pPr>
        <w:pStyle w:val="TextBody"/>
        <w:bidi w:val="0"/>
        <w:jc w:val="center"/>
        <w:rPr/>
      </w:pPr>
      <w:r>
        <w:rPr/>
        <w:drawing>
          <wp:inline distT="0" distB="0" distL="0" distR="0">
            <wp:extent cx="14287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247650"/>
                    </a:xfrm>
                    <a:prstGeom prst="rect">
                      <a:avLst/>
                    </a:prstGeom>
                  </pic:spPr>
                </pic:pic>
              </a:graphicData>
            </a:graphic>
          </wp:inline>
        </w:drawing>
      </w:r>
      <w:r>
        <w:rPr/>
        <w:t> </w:t>
      </w:r>
    </w:p>
    <w:p>
      <w:pPr>
        <w:pStyle w:val="TextBody"/>
        <w:bidi w:val="0"/>
        <w:jc w:val="center"/>
        <w:rPr>
          <w:rFonts w:ascii="Calibri;sans-serif" w:hAnsi="Calibri;sans-serif"/>
          <w:b/>
          <w:color w:val="000000"/>
          <w:sz w:val="48"/>
        </w:rPr>
      </w:pPr>
      <w:r>
        <w:rPr>
          <w:rFonts w:ascii="Calibri;sans-serif" w:hAnsi="Calibri;sans-serif"/>
          <w:b/>
          <w:color w:val="000000"/>
          <w:sz w:val="48"/>
        </w:rPr>
        <w:t>CARGURUS, INC.</w:t>
      </w:r>
    </w:p>
    <w:p>
      <w:pPr>
        <w:pStyle w:val="TextBody"/>
        <w:bidi w:val="0"/>
        <w:jc w:val="center"/>
        <w:rPr>
          <w:rFonts w:ascii="Calibri;sans-serif" w:hAnsi="Calibri;sans-serif"/>
          <w:b/>
          <w:color w:val="000000"/>
          <w:sz w:val="20"/>
        </w:rPr>
      </w:pPr>
      <w:r>
        <w:rPr>
          <w:rFonts w:ascii="Calibri;sans-serif" w:hAnsi="Calibri;sans-serif"/>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157" w:type="dxa"/>
        <w:jc w:val="left"/>
        <w:tblInd w:w="0" w:type="dxa"/>
        <w:tblLayout w:type="fixed"/>
        <w:tblCellMar>
          <w:top w:w="28" w:type="dxa"/>
          <w:left w:w="28" w:type="dxa"/>
          <w:bottom w:w="28" w:type="dxa"/>
          <w:right w:w="28" w:type="dxa"/>
        </w:tblCellMar>
      </w:tblPr>
      <w:tblGrid>
        <w:gridCol w:w="2776"/>
        <w:gridCol w:w="1381"/>
      </w:tblGrid>
      <w:tr>
        <w:trPr/>
        <w:tc>
          <w:tcPr>
            <w:tcW w:w="27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Delaware</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04-3843478</w:t>
            </w:r>
          </w:p>
        </w:tc>
      </w:tr>
      <w:tr>
        <w:trPr/>
        <w:tc>
          <w:tcPr>
            <w:tcW w:w="2776" w:type="dxa"/>
            <w:tcBorders/>
            <w:tcMar>
              <w:top w:w="0" w:type="dxa"/>
              <w:left w:w="0" w:type="dxa"/>
              <w:bottom w:w="0" w:type="dxa"/>
              <w:right w:w="0" w:type="dxa"/>
            </w:tcMar>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(State or other jurisdiction of</w:t>
            </w:r>
          </w:p>
          <w:p>
            <w:pPr>
              <w:pStyle w:val="TableContents"/>
              <w:bidi w:val="0"/>
              <w:spacing w:before="0" w:after="9"/>
              <w:jc w:val="center"/>
              <w:rPr>
                <w:rFonts w:ascii="Calibri;sans-serif" w:hAnsi="Calibri;sans-serif"/>
                <w:b/>
                <w:color w:val="000000"/>
                <w:sz w:val="16"/>
              </w:rPr>
            </w:pPr>
            <w:r>
              <w:rPr>
                <w:rFonts w:ascii="Calibri;sans-serif" w:hAnsi="Calibri;sans-serif"/>
                <w:b/>
                <w:color w:val="000000"/>
                <w:sz w:val="16"/>
              </w:rPr>
              <w:t>incorporation or organization)</w:t>
            </w:r>
          </w:p>
        </w:tc>
        <w:tc>
          <w:tcPr>
            <w:tcW w:w="1381" w:type="dxa"/>
            <w:tcBorders/>
            <w:tcMar>
              <w:top w:w="0" w:type="dxa"/>
              <w:left w:w="0" w:type="dxa"/>
              <w:bottom w:w="0" w:type="dxa"/>
              <w:right w:w="0" w:type="dxa"/>
            </w:tcMar>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(I.R.S. Employer</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Identification No.)</w:t>
            </w:r>
          </w:p>
        </w:tc>
      </w:tr>
      <w:tr>
        <w:trPr/>
        <w:tc>
          <w:tcPr>
            <w:tcW w:w="2776" w:type="dxa"/>
            <w:tcBorders/>
            <w:tcMar>
              <w:top w:w="0" w:type="dxa"/>
              <w:left w:w="0" w:type="dxa"/>
              <w:bottom w:w="0" w:type="dxa"/>
              <w:right w:w="0" w:type="dxa"/>
            </w:tcMar>
            <w:vAlign w:val="center"/>
          </w:tcPr>
          <w:p>
            <w:pPr>
              <w:pStyle w:val="TableContents"/>
              <w:bidi w:val="0"/>
              <w:spacing w:before="0" w:after="9"/>
              <w:jc w:val="center"/>
              <w:rPr>
                <w:rFonts w:ascii="Times New Roman" w:hAnsi="Times New Roman"/>
                <w:sz w:val="20"/>
              </w:rPr>
            </w:pPr>
            <w:r>
              <w:rPr>
                <w:rFonts w:ascii="Calibri;sans-serif" w:hAnsi="Calibri;sans-serif"/>
                <w:b/>
                <w:color w:val="000000"/>
                <w:sz w:val="20"/>
              </w:rPr>
              <w:t>55 Cambridge Parkway, 6</w:t>
            </w:r>
            <w:r>
              <w:rPr>
                <w:rFonts w:ascii="Calibri;sans-serif" w:hAnsi="Calibri;sans-serif"/>
                <w:b/>
                <w:color w:val="000000"/>
                <w:sz w:val="13"/>
              </w:rPr>
              <w:t>th</w:t>
            </w:r>
            <w:r>
              <w:rPr>
                <w:rFonts w:ascii="Calibri;sans-serif" w:hAnsi="Calibri;sans-serif"/>
                <w:color w:val="000000"/>
                <w:sz w:val="20"/>
              </w:rPr>
              <w:t xml:space="preserve"> </w:t>
            </w:r>
            <w:r>
              <w:rPr>
                <w:rFonts w:ascii="Calibri;sans-serif" w:hAnsi="Calibri;sans-serif"/>
                <w:b/>
                <w:color w:val="000000"/>
                <w:sz w:val="20"/>
              </w:rPr>
              <w:t>Floor</w:t>
            </w:r>
          </w:p>
          <w:p>
            <w:pPr>
              <w:pStyle w:val="TableContents"/>
              <w:bidi w:val="0"/>
              <w:spacing w:before="0" w:after="9"/>
              <w:jc w:val="center"/>
              <w:rPr>
                <w:rFonts w:ascii="Times New Roman" w:hAnsi="Times New Roman"/>
                <w:sz w:val="20"/>
              </w:rPr>
            </w:pPr>
            <w:r>
              <w:rPr>
                <w:rFonts w:ascii="Calibri;sans-serif" w:hAnsi="Calibri;sans-serif"/>
                <w:b/>
                <w:color w:val="000000"/>
                <w:sz w:val="20"/>
              </w:rPr>
              <w:t>Cambridge, Massachusetts</w:t>
            </w:r>
            <w:r>
              <w:rPr>
                <w:rFonts w:ascii="Times New Roman" w:hAnsi="Times New Roman"/>
                <w:color w:val="000000"/>
                <w:sz w:val="20"/>
              </w:rPr>
              <w:t xml:space="preserve"> </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02142</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1381"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(Zip Code)</w:t>
            </w:r>
          </w:p>
        </w:tc>
      </w:tr>
    </w:tbl>
    <w:p>
      <w:pPr>
        <w:pStyle w:val="TextBody"/>
        <w:bidi w:val="0"/>
        <w:spacing w:before="40" w:after="283"/>
        <w:jc w:val="center"/>
        <w:rPr>
          <w:rFonts w:ascii="Calibri;sans-serif" w:hAnsi="Calibri;sans-serif"/>
          <w:b/>
          <w:color w:val="000000"/>
          <w:sz w:val="18"/>
        </w:rPr>
      </w:pPr>
      <w:r>
        <w:rPr>
          <w:rFonts w:ascii="Calibri;sans-serif" w:hAnsi="Calibri;sans-serif"/>
          <w:b/>
          <w:color w:val="000000"/>
          <w:sz w:val="18"/>
        </w:rPr>
        <w:t>(617) 354-0068</w:t>
      </w:r>
    </w:p>
    <w:p>
      <w:pPr>
        <w:pStyle w:val="TextBody"/>
        <w:bidi w:val="0"/>
        <w:spacing w:before="40" w:after="283"/>
        <w:jc w:val="center"/>
        <w:rPr>
          <w:rFonts w:ascii="Times New Roman" w:hAnsi="Times New Roman"/>
          <w:sz w:val="20"/>
        </w:rPr>
      </w:pPr>
      <w:r>
        <w:rPr>
          <w:rFonts w:ascii="Calibri;sans-serif" w:hAnsi="Calibri;sans-serif"/>
          <w:color w:val="000000"/>
          <w:sz w:val="18"/>
        </w:rPr>
        <w:t>(Registrant’s telephone number, including area code)</w:t>
      </w:r>
      <w:r>
        <w:rPr>
          <w:rFonts w:ascii="Times New Roman" w:hAnsi="Times New Roman"/>
          <w:color w:val="000000"/>
          <w:sz w:val="20"/>
        </w:rPr>
        <w:t xml:space="preserve"> </w:t>
      </w:r>
    </w:p>
    <w:p>
      <w:pPr>
        <w:pStyle w:val="TextBody"/>
        <w:bidi w:val="0"/>
        <w:spacing w:before="80" w:after="283"/>
        <w:jc w:val="left"/>
        <w:rPr>
          <w:rFonts w:ascii="Calibri;sans-serif" w:hAnsi="Calibri;sans-serif"/>
          <w:color w:val="000000"/>
          <w:sz w:val="20"/>
        </w:rPr>
      </w:pPr>
      <w:r>
        <w:rPr>
          <w:rFonts w:ascii="Calibri;sans-serif" w:hAnsi="Calibri;sans-serif"/>
          <w:color w:val="000000"/>
          <w:sz w:val="20"/>
        </w:rPr>
        <w:t>Securities registered pursuant to Section 12(b) of the Act:</w:t>
      </w:r>
    </w:p>
    <w:p>
      <w:pPr>
        <w:pStyle w:val="TextBody"/>
        <w:bidi w:val="0"/>
        <w:jc w:val="center"/>
        <w:rPr/>
      </w:pPr>
      <w:r>
        <w:rPr/>
        <w:t> </w:t>
      </w:r>
    </w:p>
    <w:tbl>
      <w:tblPr>
        <w:tblW w:w="9078" w:type="dxa"/>
        <w:jc w:val="left"/>
        <w:tblInd w:w="0" w:type="dxa"/>
        <w:tblLayout w:type="fixed"/>
        <w:tblCellMar>
          <w:top w:w="28" w:type="dxa"/>
          <w:left w:w="28" w:type="dxa"/>
          <w:bottom w:w="28" w:type="dxa"/>
          <w:right w:w="28" w:type="dxa"/>
        </w:tblCellMar>
      </w:tblPr>
      <w:tblGrid>
        <w:gridCol w:w="3556"/>
        <w:gridCol w:w="1261"/>
        <w:gridCol w:w="4261"/>
      </w:tblGrid>
      <w:tr>
        <w:trPr/>
        <w:tc>
          <w:tcPr>
            <w:tcW w:w="35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Title of Each Class</w:t>
            </w:r>
          </w:p>
        </w:tc>
        <w:tc>
          <w:tcPr>
            <w:tcW w:w="1261"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Trading Symbol</w:t>
            </w:r>
          </w:p>
        </w:tc>
        <w:tc>
          <w:tcPr>
            <w:tcW w:w="4261" w:type="dxa"/>
            <w:tcBorders/>
            <w:vAlign w:val="center"/>
          </w:tcPr>
          <w:p>
            <w:pPr>
              <w:pStyle w:val="TableContents"/>
              <w:bidi w:val="0"/>
              <w:spacing w:before="0" w:after="283"/>
              <w:jc w:val="center"/>
              <w:rPr>
                <w:rFonts w:ascii="Calibri;sans-serif" w:hAnsi="Calibri;sans-serif"/>
                <w:b/>
                <w:color w:val="000000"/>
                <w:sz w:val="18"/>
                <w:u w:val="single"/>
              </w:rPr>
            </w:pPr>
            <w:r>
              <w:rPr>
                <w:rFonts w:ascii="Calibri;sans-serif" w:hAnsi="Calibri;sans-serif"/>
                <w:b/>
                <w:color w:val="000000"/>
                <w:sz w:val="18"/>
                <w:u w:val="single"/>
              </w:rPr>
              <w:t>Name of Exchange on Which Registered</w:t>
            </w:r>
          </w:p>
        </w:tc>
      </w:tr>
      <w:tr>
        <w:trPr/>
        <w:tc>
          <w:tcPr>
            <w:tcW w:w="3556"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Class A Common Stock, par value $0.001 per share</w:t>
            </w:r>
          </w:p>
        </w:tc>
        <w:tc>
          <w:tcPr>
            <w:tcW w:w="1261"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CARG</w:t>
            </w:r>
          </w:p>
        </w:tc>
        <w:tc>
          <w:tcPr>
            <w:tcW w:w="4261" w:type="dxa"/>
            <w:tcBorders/>
            <w:vAlign w:val="center"/>
          </w:tcPr>
          <w:p>
            <w:pPr>
              <w:pStyle w:val="TableContents"/>
              <w:bidi w:val="0"/>
              <w:jc w:val="center"/>
              <w:rPr>
                <w:rFonts w:ascii="Times New Roman" w:hAnsi="Times New Roman"/>
                <w:sz w:val="20"/>
              </w:rPr>
            </w:pPr>
            <w:r>
              <w:rPr>
                <w:rFonts w:ascii="Calibri;sans-serif" w:hAnsi="Calibri;sans-serif"/>
                <w:b/>
                <w:color w:val="000000"/>
                <w:sz w:val="16"/>
              </w:rPr>
              <w:t>The Nasdaq Stock Market LLC</w:t>
            </w:r>
            <w:r>
              <w:rPr>
                <w:rFonts w:ascii="Times New Roman" w:hAnsi="Times New Roman"/>
                <w:color w:val="000000"/>
                <w:sz w:val="20"/>
              </w:rPr>
              <w:t> </w:t>
            </w:r>
            <w:r>
              <w:rPr>
                <w:rFonts w:ascii="Calibri;sans-serif" w:hAnsi="Calibri;sans-serif"/>
                <w:b/>
                <w:color w:val="000000"/>
                <w:sz w:val="16"/>
              </w:rPr>
              <w:t>(Nasdaq Global Select Market)</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Calibri;sans-serif" w:hAnsi="Calibri;sans-serif"/>
          <w:color w:val="000000"/>
          <w:sz w:val="20"/>
        </w:rPr>
        <w:t>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Calibri;sans-serif" w:hAnsi="Calibri;sans-serif"/>
          <w:color w:val="000000"/>
          <w:sz w:val="20"/>
        </w:rPr>
        <w:t>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1831"/>
        <w:gridCol w:w="146"/>
        <w:gridCol w:w="316"/>
        <w:gridCol w:w="146"/>
        <w:gridCol w:w="2221"/>
        <w:gridCol w:w="146"/>
        <w:gridCol w:w="36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Small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Calibri;sans-serif" w:hAnsi="Calibri;sans-serif"/>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Calibri;sans-serif" w:hAnsi="Calibri;sans-serif"/>
          <w:color w:val="000000"/>
          <w:sz w:val="20"/>
        </w:rPr>
        <w:t>As of July 31, 2024, the registrant had 87,369,707</w:t>
      </w:r>
      <w:r>
        <w:rPr>
          <w:rFonts w:ascii="Times New Roman" w:hAnsi="Times New Roman"/>
          <w:color w:val="000000"/>
          <w:sz w:val="20"/>
        </w:rPr>
        <w:t xml:space="preserve"> </w:t>
      </w:r>
      <w:r>
        <w:rPr>
          <w:rFonts w:ascii="Calibri;sans-serif" w:hAnsi="Calibri;sans-serif"/>
          <w:color w:val="000000"/>
          <w:sz w:val="20"/>
        </w:rPr>
        <w:t>shares of Class A common stock, $0.001 par value per share, and 15,999,173</w:t>
      </w:r>
      <w:r>
        <w:rPr>
          <w:rFonts w:ascii="Times New Roman" w:hAnsi="Times New Roman"/>
          <w:color w:val="000000"/>
          <w:sz w:val="20"/>
        </w:rPr>
        <w:t xml:space="preserve"> </w:t>
      </w:r>
      <w:r>
        <w:rPr>
          <w:rFonts w:ascii="Calibri;sans-serif" w:hAnsi="Calibri;sans-serif"/>
          <w:color w:val="000000"/>
          <w:sz w:val="20"/>
        </w:rPr>
        <w:t>shares of Class B common stock, par value $0.001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8801"/>
        <w:gridCol w:w="482"/>
      </w:tblGrid>
      <w:tr>
        <w:trPr/>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ind w:left="0" w:right="0" w:firstLine="90"/>
              <w:jc w:val="left"/>
              <w:rPr>
                <w:sz w:val="4"/>
                <w:szCs w:val="4"/>
              </w:rPr>
            </w:pPr>
            <w:r>
              <w:rPr>
                <w:sz w:val="4"/>
                <w:szCs w:val="4"/>
              </w:rPr>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PART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Calibri;sans-serif" w:hAnsi="Calibri;sans-serif"/>
                  <w:b/>
                  <w:color w:val="0000FF"/>
                  <w:sz w:val="20"/>
                  <w:u w:val="single"/>
                </w:rPr>
                <w:t>FINANCIAL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Calibri;sans-serif" w:hAnsi="Calibri;sans-serif"/>
                  <w:color w:val="0000FF"/>
                  <w:sz w:val="20"/>
                  <w:u w:val="single"/>
                </w:rPr>
                <w:t>Financial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Calibri;sans-serif" w:hAnsi="Calibri;sans-serif"/>
                  <w:color w:val="0000FF"/>
                  <w:sz w:val="20"/>
                  <w:u w:val="single"/>
                </w:rPr>
                <w:t>Unaudited Condensed Consolidated Balance Sheets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1</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Calibri;sans-serif" w:hAnsi="Calibri;sans-serif"/>
                  <w:color w:val="0000FF"/>
                  <w:sz w:val="20"/>
                  <w:u w:val="single"/>
                </w:rPr>
                <w:t>Unaudited Condensed Consolidated Income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2</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Calibri;sans-serif" w:hAnsi="Calibri;sans-serif"/>
                  <w:color w:val="0000FF"/>
                  <w:sz w:val="20"/>
                  <w:u w:val="single"/>
                </w:rPr>
                <w:t>Unaudited Condensed Consolidated Statements of Comprehensive Income</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3</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Calibri;sans-serif" w:hAnsi="Calibri;sans-serif"/>
                  <w:color w:val="0000FF"/>
                  <w:sz w:val="20"/>
                  <w:u w:val="single"/>
                </w:rPr>
                <w:t>Unaudited Condensed Consolidated Statements of Redeemable Noncontrolling Interest and Stockholders’ Equity</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4</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90" w:right="0" w:firstLine="9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Calibri;sans-serif" w:hAnsi="Calibri;sans-serif"/>
                  <w:color w:val="0000FF"/>
                  <w:sz w:val="20"/>
                  <w:u w:val="single"/>
                </w:rPr>
                <w:t>Unaudited Condensed Consolidated Statements of Cash Flows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right"/>
              <w:rPr>
                <w:rFonts w:ascii="Calibri;sans-serif" w:hAnsi="Calibri;sans-serif"/>
                <w:color w:val="000000"/>
                <w:sz w:val="20"/>
              </w:rPr>
            </w:pPr>
            <w:r>
              <w:rPr>
                <w:rFonts w:ascii="Calibri;sans-serif" w:hAnsi="Calibri;sans-serif"/>
                <w:color w:val="000000"/>
                <w:sz w:val="20"/>
              </w:rPr>
              <w:t>5</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Calibri;sans-serif" w:hAnsi="Calibri;sans-serif"/>
                  <w:color w:val="0000FF"/>
                  <w:sz w:val="20"/>
                  <w:u w:val="single"/>
                </w:rPr>
                <w:t>Notes to Unaudited Condensed Consolidated Financial Statements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Calibri;sans-serif" w:hAnsi="Calibri;sans-serif"/>
                  <w:color w:val="0000FF"/>
                  <w:sz w:val="20"/>
                  <w:u w:val="single"/>
                </w:rPr>
                <w:t>Management’s Discussion and Analysis of Financial Condition and Results of Operations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Calibri;sans-serif" w:hAnsi="Calibri;sans-serif"/>
                  <w:color w:val="0000FF"/>
                  <w:sz w:val="20"/>
                  <w:u w:val="single"/>
                </w:rPr>
                <w:t>Quantitative and Qualitative Disclosures About Market Risk</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Calibri;sans-serif" w:hAnsi="Calibri;sans-serif"/>
                  <w:color w:val="0000FF"/>
                  <w:sz w:val="20"/>
                  <w:u w:val="single"/>
                </w:rPr>
                <w:t>Controls and Procedures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PART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Calibri;sans-serif" w:hAnsi="Calibri;sans-serif"/>
                  <w:b/>
                  <w:color w:val="0000FF"/>
                  <w:sz w:val="20"/>
                  <w:u w:val="single"/>
                </w:rPr>
                <w:t>OTHER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Calibri;sans-serif" w:hAnsi="Calibri;sans-serif"/>
                  <w:color w:val="0000FF"/>
                  <w:sz w:val="20"/>
                  <w:u w:val="single"/>
                </w:rPr>
                <w:t>Legal Proceedings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Calibri;sans-serif" w:hAnsi="Calibri;sans-serif"/>
                  <w:color w:val="0000FF"/>
                  <w:sz w:val="20"/>
                  <w:u w:val="single"/>
                </w:rPr>
                <w:t>Risk Factors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_sale_securities">
              <w:r>
                <w:rPr>
                  <w:rStyle w:val="InternetLink"/>
                  <w:rFonts w:ascii="Calibri;sans-serif" w:hAnsi="Calibri;sans-serif"/>
                  <w:color w:val="0000FF"/>
                  <w:sz w:val="20"/>
                  <w:u w:val="single"/>
                </w:rPr>
                <w:t>Unregistered Sales of Equity Securities and Use of Proceeds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Calibri;sans-serif" w:hAnsi="Calibri;sans-serif"/>
                  <w:color w:val="0000FF"/>
                  <w:sz w:val="20"/>
                  <w:u w:val="single"/>
                </w:rPr>
                <w:t>Other Information</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w:t>
            </w:r>
          </w:p>
        </w:tc>
      </w:tr>
      <w:tr>
        <w:trPr/>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Calibri;sans-serif" w:hAnsi="Calibri;sans-serif"/>
                  <w:color w:val="0000FF"/>
                  <w:sz w:val="20"/>
                  <w:u w:val="single"/>
                </w:rPr>
                <w:t>Exhibits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w:t>
            </w:r>
          </w:p>
        </w:tc>
      </w:tr>
      <w:tr>
        <w:trPr/>
        <w:tc>
          <w:tcPr>
            <w:tcW w:w="972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Calibri;sans-serif" w:hAnsi="Calibri;sans-serif"/>
                  <w:color w:val="0000FF"/>
                  <w:sz w:val="20"/>
                  <w:u w:val="single"/>
                </w:rPr>
                <w:t>Signatures</w:t>
              </w:r>
            </w:hyperlink>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r>
        <w:rPr>
          <w:rFonts w:ascii="Calibri;sans-serif" w:hAnsi="Calibri;sans-serif"/>
          <w:b/>
          <w:color w:val="000000"/>
          <w:sz w:val="20"/>
        </w:rPr>
        <w:t>SPECIAL NOTE REGARDING FORWARD</w:t>
        <w:noBreakHyphen/>
        <w:t>LOOKING STATEMENTS</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This Quarterly Report on Form 10-Q, or Quarterly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our growth strategies and our ability to effectively manage any growth;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value proposition of our product offerings for dealers and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ability of our combined suite of offerings to increase a dealer’s return on investment, add scale to our marketplace network, drive powerful network effects, create powerful synergies for dealers, transform the end-to-end car-shopping journey for both consumers and dealers, and become the marketplace for all steps of the vehicle acquisition and sale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evolution to becoming a transaction-enabled platform where consumers can shop, buy, seek financing, and sell their cars and dealers can predict, source, market, and sell their cars;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belief that certain of our strengths, including our trusted marketplace for consumers, our strong value proposition for dealers, and our data-driven approach, among other things, will lead to an advantage over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value proposition of the CarOffer, LLC, or CarOffer, online wholesale platform, including our belief that as dealer enrollments increase, dealers will see a corresponding increase in inventory on the platform, further enabling liquidity, selection, choice, and business efficiencies;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deliver quality leads at a high volume for our dealer customers and to provide the highest return on a dealer’s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for CarGurus Sell My Car (Instant Max Cash Offer and Top Dealer Offers) as well as our digital retail offerings and continued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maintain and acquire new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maintain and build our brand;</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belief that our partnerships with automotive lending companies provide more transparency to car shoppers and deliver highly qualified car shopper leads to participating dealers;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belief that our Geo Expansion offering promotes participating dealers’ delivery capabilities and increases non-local vehicle detail page views;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outlook for our Restricted Listings product;</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the impact of competition in our industry and innovation by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adapt to technological change and effectively enhance, innovate, and scale our platform and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realize benefits from our acquisitions and successfully implement the integration strategies in connection therewith;</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impairment of the carrying value of our goodwill or other assets;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overcome challenges facing the automotive industry ecosystem, including inventory supply problems, global supply chain challenges, changes to trade policies, and other macroeconomic issues;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regarding cash generation and the sufficiency of our cash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expected returns on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regarding our deferred tax assets;</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impact of changes in tax law and related guidance and regulations that may be implemented, including on tax rates;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regarding our expenses generally, including our general and administrative, our product, technology, and development, and our sales and marketing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domestic and global economic conditions affecting us or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expectations regarding the funding of our share repurchase program;</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revolving credit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adequately protect our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 xml:space="preserve">our ability to hire and retain necessary qualified employees to expand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material weakness in our internal control over financial reporting that we have identified, and our ability to remediate such weakness and enhance our internal control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maintain an effective system of internal controls necessary to accurately report our financial results and prevent fraud;</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impact of accounting pronouncements;</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our ability to stay abreast of, and effectively comply with, new or modified laws and regulations that currently apply or become applicable to our business and our beliefs regarding our compliance therewith;</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impact of litigation;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future trading prices of our Class A common stock.</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You should not rely upon forward</w:t>
        <w:noBreakHyphen/>
        <w:t>looking statements as predictions of future events. We have based the forward</w:t>
        <w:noBreakHyphen/>
        <w:t>looking statements contained in this Quarterly Report primarily on our current expectations and projections about future events and trends that we believe may affect our business, financial condition, operating results, and growth prospects. The outcome of the events described in these forward</w:t>
        <w:noBreakHyphen/>
        <w:t>looking statements is subject to risks, uncertainties, and other factors that are described in this Quarterly Report. We have included important risk factors in the cautionary statements included in our Annual Report on Form 10-K for the fiscal year ended December 31, 2023, filed with the U.S. Securities and Exchange Commission, or SEC, on February 26, 2024, or Annual Report, particularly those discussed in Part I, Item 1A, “Risk Factors,” in our Annual Report and in Part II, Item 1A, “Risk Factors,” of this Quarterly Report, that could cause actual results or events to differ materially from the forward-looking statements that we make. Moreover,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Quarterly Report. Further, our forward</w:t>
        <w:noBreakHyphen/>
        <w:t>looking statements do not reflect the potential impact of any future acquisitions, mergers, dispositions, or joint ventures in which we may be involved, or investments we may make. We cannot assure you that the results, events, and circumstances reflected in the forward</w:t>
        <w:noBreakHyphen/>
        <w:t>looking statements will be achieved or occur, and actual results, events, or circumstances could differ materially from those described in the forward</w:t>
        <w:noBreakHyphen/>
        <w:t>looking statements.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forward</w:t>
        <w:noBreakHyphen/>
        <w:t>looking statements made in this Quarterly Report speak only as of the date of this Quarterly Report. We undertake no obligation to update any forward</w:t>
        <w:noBreakHyphen/>
        <w:t>looking statement made in this Quarterly Report to reflect events or circumstances after the date of this Quarterly Report or to reflect new information or the occurrence of unanticipated events, except as required by law.</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NOTE REGARDING TRADEMARKS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CarGurus® is a registered trademark of CarGurus, Inc., and CarOffer® is a registered trademark of CarOffer, LLC. All other product names, trademarks, and registered trademarks are property of their respective owners. We have omitted the ® and  designations, as applicable, for the trademarks used in this Quarterly Report.</w:t>
      </w:r>
    </w:p>
    <w:p>
      <w:pPr>
        <w:pStyle w:val="TextBody"/>
        <w:bidi w:val="0"/>
        <w:spacing w:before="240" w:after="283"/>
        <w:jc w:val="both"/>
        <w:rPr/>
      </w:pPr>
      <w:r>
        <w:rPr/>
        <w:t>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 w:name="part_ifinancial_information"/>
      <w:bookmarkEnd w:id="2"/>
      <w:r>
        <w:rPr>
          <w:rFonts w:ascii="Calibri;sans-serif" w:hAnsi="Calibri;sans-serif"/>
          <w:b/>
          <w:color w:val="000000"/>
          <w:sz w:val="20"/>
        </w:rPr>
        <w:t>PART I—FINANCIAL INFORMATION</w:t>
      </w:r>
    </w:p>
    <w:p>
      <w:pPr>
        <w:pStyle w:val="TextBody"/>
        <w:bidi w:val="0"/>
        <w:spacing w:before="120" w:after="283"/>
        <w:jc w:val="left"/>
        <w:rPr>
          <w:rFonts w:ascii="Calibri;sans-serif" w:hAnsi="Calibri;sans-serif"/>
          <w:b/>
          <w:color w:val="000000"/>
          <w:sz w:val="20"/>
        </w:rPr>
      </w:pPr>
      <w:bookmarkStart w:id="3" w:name="item_1_financial_statements"/>
      <w:bookmarkEnd w:id="3"/>
      <w:r>
        <w:rPr>
          <w:rFonts w:ascii="Calibri;sans-serif" w:hAnsi="Calibri;sans-serif"/>
          <w:b/>
          <w:color w:val="000000"/>
          <w:sz w:val="20"/>
        </w:rPr>
        <w:t>Item 1. Financial Statements.</w:t>
      </w:r>
    </w:p>
    <w:p>
      <w:pPr>
        <w:pStyle w:val="TextBody"/>
        <w:bidi w:val="0"/>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120" w:after="283"/>
        <w:jc w:val="center"/>
        <w:rPr>
          <w:rFonts w:ascii="Times New Roman" w:hAnsi="Times New Roman"/>
          <w:sz w:val="20"/>
        </w:rPr>
      </w:pPr>
      <w:bookmarkStart w:id="4" w:name="unaudited_condensed_consolidated_balance"/>
      <w:bookmarkEnd w:id="4"/>
      <w:r>
        <w:rPr>
          <w:rFonts w:ascii="Calibri;sans-serif" w:hAnsi="Calibri;sans-serif"/>
          <w:b/>
          <w:color w:val="000000"/>
          <w:sz w:val="20"/>
        </w:rPr>
        <w:t>Unaudited Condensed 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Calibri;sans-serif" w:hAnsi="Calibri;sans-serif"/>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8597" w:type="dxa"/>
        <w:jc w:val="left"/>
        <w:tblInd w:w="0" w:type="dxa"/>
        <w:tblLayout w:type="fixed"/>
        <w:tblCellMar>
          <w:top w:w="28" w:type="dxa"/>
          <w:left w:w="28" w:type="dxa"/>
          <w:bottom w:w="28" w:type="dxa"/>
          <w:right w:w="28" w:type="dxa"/>
        </w:tblCellMar>
      </w:tblPr>
      <w:tblGrid>
        <w:gridCol w:w="5766"/>
        <w:gridCol w:w="146"/>
        <w:gridCol w:w="196"/>
        <w:gridCol w:w="691"/>
        <w:gridCol w:w="166"/>
        <w:gridCol w:w="146"/>
        <w:gridCol w:w="242"/>
        <w:gridCol w:w="853"/>
        <w:gridCol w:w="39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216,169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291,363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20,724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Accounts receivable, net of allowance for doubtful accounts of $616</w:t>
              <w:br/>
              <w:t>   and $610,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39,757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39,963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331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Prepaid expenses, prepaid income taxes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25,152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Deferred contract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11,614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11,095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2,563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288,326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391,191</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130,023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83,370</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23,056</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Goodwill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46,576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157,898</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137,133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169,682</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Deferred tax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117,503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73,356</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Deferred contract costs, net of current portion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12,998</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7,376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753,331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918,927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b/>
                <w:color w:val="000000"/>
                <w:sz w:val="18"/>
              </w:rPr>
            </w:pPr>
            <w:r>
              <w:rPr>
                <w:rFonts w:ascii="Calibri;sans-serif" w:hAnsi="Calibri;sans-serif"/>
                <w:b/>
                <w:color w:val="000000"/>
                <w:sz w:val="18"/>
              </w:rPr>
              <w:t>Liabilities, redeemable noncontrolling interest and stockholders’ equity</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46,107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47,854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Accrued expenses, accrued income taxes and other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33,924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33,718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21,785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21,322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12,284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112,041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115,178</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183,732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182,106</w:t>
            </w:r>
          </w:p>
        </w:tc>
        <w:tc>
          <w:tcPr>
            <w:tcW w:w="39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58</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301,258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302,075</w:t>
            </w:r>
          </w:p>
        </w:tc>
        <w:tc>
          <w:tcPr>
            <w:tcW w:w="391" w:type="dxa"/>
            <w:tcBorders/>
            <w:shd w:fill="CFF0FC"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18"/>
              </w:rPr>
              <w:t>Commitments and contingencies</w:t>
            </w:r>
            <w:r>
              <w:rPr>
                <w:rFonts w:ascii="Times New Roman" w:hAnsi="Times New Roman"/>
                <w:color w:val="000000"/>
                <w:sz w:val="20"/>
              </w:rPr>
              <w:t> </w:t>
            </w:r>
            <w:r>
              <w:rPr>
                <w:rFonts w:ascii="Calibri;sans-serif" w:hAnsi="Calibri;sans-serif"/>
                <w:color w:val="000000"/>
                <w:sz w:val="18"/>
              </w:rPr>
              <w:t>(Note 9)</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18"/>
              </w:rPr>
              <w:t>Preferred stock, $0.001</w:t>
            </w:r>
            <w:r>
              <w:rPr>
                <w:rFonts w:ascii="Times New Roman" w:hAnsi="Times New Roman"/>
                <w:color w:val="000000"/>
                <w:sz w:val="20"/>
              </w:rPr>
              <w:t> </w:t>
            </w:r>
            <w:r>
              <w:rPr>
                <w:rFonts w:ascii="Calibri;sans-serif" w:hAnsi="Calibri;sans-serif"/>
                <w:color w:val="000000"/>
                <w:sz w:val="18"/>
              </w:rPr>
              <w:t>par value per share; 10,000,000</w:t>
            </w:r>
            <w:r>
              <w:rPr>
                <w:rFonts w:ascii="Times New Roman" w:hAnsi="Times New Roman"/>
                <w:color w:val="000000"/>
                <w:sz w:val="20"/>
              </w:rPr>
              <w:t> </w:t>
            </w:r>
            <w:r>
              <w:rPr>
                <w:rFonts w:ascii="Calibri;sans-serif" w:hAnsi="Calibri;sans-serif"/>
                <w:color w:val="000000"/>
                <w:sz w:val="18"/>
              </w:rPr>
              <w:t>shares authorized;</w:t>
              <w:br/>
              <w:t>   no</w:t>
            </w:r>
            <w:r>
              <w:rPr>
                <w:rFonts w:ascii="Times New Roman" w:hAnsi="Times New Roman"/>
                <w:color w:val="000000"/>
                <w:sz w:val="20"/>
              </w:rPr>
              <w:t> </w:t>
            </w:r>
            <w:r>
              <w:rPr>
                <w:rFonts w:ascii="Calibri;sans-serif" w:hAnsi="Calibri;sans-serif"/>
                <w:color w:val="000000"/>
                <w:sz w:val="18"/>
              </w:rPr>
              <w:t>shares issued and outstanding</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18"/>
              </w:rPr>
              <w:t>Class A common stock, $0.001</w:t>
            </w:r>
            <w:r>
              <w:rPr>
                <w:rFonts w:ascii="Times New Roman" w:hAnsi="Times New Roman"/>
                <w:color w:val="000000"/>
                <w:sz w:val="20"/>
              </w:rPr>
              <w:t> </w:t>
            </w:r>
            <w:r>
              <w:rPr>
                <w:rFonts w:ascii="Calibri;sans-serif" w:hAnsi="Calibri;sans-serif"/>
                <w:color w:val="000000"/>
                <w:sz w:val="18"/>
              </w:rPr>
              <w:t>par value per share; 500,000,000</w:t>
            </w:r>
            <w:r>
              <w:rPr>
                <w:rFonts w:ascii="Times New Roman" w:hAnsi="Times New Roman"/>
                <w:color w:val="000000"/>
                <w:sz w:val="20"/>
              </w:rPr>
              <w:t> </w:t>
            </w:r>
            <w:r>
              <w:rPr>
                <w:rFonts w:ascii="Calibri;sans-serif" w:hAnsi="Calibri;sans-serif"/>
                <w:color w:val="000000"/>
                <w:sz w:val="18"/>
              </w:rPr>
              <w:t>shares</w:t>
              <w:br/>
              <w:t>   authorized; 87,005,403</w:t>
            </w:r>
            <w:r>
              <w:rPr>
                <w:rFonts w:ascii="Times New Roman" w:hAnsi="Times New Roman"/>
                <w:color w:val="000000"/>
                <w:sz w:val="20"/>
              </w:rPr>
              <w:t> </w:t>
            </w:r>
            <w:r>
              <w:rPr>
                <w:rFonts w:ascii="Calibri;sans-serif" w:hAnsi="Calibri;sans-serif"/>
                <w:color w:val="000000"/>
                <w:sz w:val="18"/>
              </w:rPr>
              <w:t>and 92,175,243</w:t>
            </w:r>
            <w:r>
              <w:rPr>
                <w:rFonts w:ascii="Times New Roman" w:hAnsi="Times New Roman"/>
                <w:color w:val="000000"/>
                <w:sz w:val="20"/>
              </w:rPr>
              <w:t> </w:t>
            </w:r>
            <w:r>
              <w:rPr>
                <w:rFonts w:ascii="Calibri;sans-serif" w:hAnsi="Calibri;sans-serif"/>
                <w:color w:val="000000"/>
                <w:sz w:val="18"/>
              </w:rPr>
              <w:t>shares issued and outstanding</w:t>
              <w:br/>
              <w:t>   at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18"/>
              </w:rPr>
              <w:t>Class B common stock, $0.001</w:t>
            </w:r>
            <w:r>
              <w:rPr>
                <w:rFonts w:ascii="Times New Roman" w:hAnsi="Times New Roman"/>
                <w:color w:val="000000"/>
                <w:sz w:val="20"/>
              </w:rPr>
              <w:t> </w:t>
            </w:r>
            <w:r>
              <w:rPr>
                <w:rFonts w:ascii="Calibri;sans-serif" w:hAnsi="Calibri;sans-serif"/>
                <w:color w:val="000000"/>
                <w:sz w:val="18"/>
              </w:rPr>
              <w:t>par value per share; 100,000,000</w:t>
            </w:r>
            <w:r>
              <w:rPr>
                <w:rFonts w:ascii="Times New Roman" w:hAnsi="Times New Roman"/>
                <w:color w:val="000000"/>
                <w:sz w:val="20"/>
              </w:rPr>
              <w:t> </w:t>
            </w:r>
            <w:r>
              <w:rPr>
                <w:rFonts w:ascii="Calibri;sans-serif" w:hAnsi="Calibri;sans-serif"/>
                <w:color w:val="000000"/>
                <w:sz w:val="18"/>
              </w:rPr>
              <w:t>shares</w:t>
              <w:br/>
              <w:t>   authorized; 15,999,173</w:t>
            </w:r>
            <w:r>
              <w:rPr>
                <w:rFonts w:ascii="Times New Roman" w:hAnsi="Times New Roman"/>
                <w:color w:val="000000"/>
                <w:sz w:val="20"/>
              </w:rPr>
              <w:t> </w:t>
            </w:r>
            <w:r>
              <w:rPr>
                <w:rFonts w:ascii="Calibri;sans-serif" w:hAnsi="Calibri;sans-serif"/>
                <w:color w:val="000000"/>
                <w:sz w:val="18"/>
              </w:rPr>
              <w:t>and 15,999,173</w:t>
            </w:r>
            <w:r>
              <w:rPr>
                <w:rFonts w:ascii="Times New Roman" w:hAnsi="Times New Roman"/>
                <w:color w:val="000000"/>
                <w:sz w:val="20"/>
              </w:rPr>
              <w:t> </w:t>
            </w:r>
            <w:r>
              <w:rPr>
                <w:rFonts w:ascii="Calibri;sans-serif" w:hAnsi="Calibri;sans-serif"/>
                <w:color w:val="000000"/>
                <w:sz w:val="18"/>
              </w:rPr>
              <w:t>shares issued and outstanding</w:t>
              <w:br/>
              <w:t>   at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146,946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85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263,498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7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Retained earnings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306,727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354,147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7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18"/>
              </w:rPr>
            </w:pPr>
            <w:r>
              <w:rPr>
                <w:rFonts w:ascii="Calibri;sans-serif" w:hAnsi="Calibri;sans-serif"/>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5766"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452,073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616,852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Total liabilities, redeemable noncontrolling interest and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753,331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918,927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Calibri;sans-serif" w:hAnsi="Calibri;sans-serif"/>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CarGurus, Inc.</w:t>
      </w:r>
      <w:r>
        <w:rPr>
          <w:rFonts w:ascii="Times New Roman" w:hAnsi="Times New Roman"/>
          <w:color w:val="000000"/>
          <w:sz w:val="20"/>
        </w:rPr>
        <w:t xml:space="preserve"> </w:t>
      </w:r>
    </w:p>
    <w:p>
      <w:pPr>
        <w:pStyle w:val="TextBody"/>
        <w:bidi w:val="0"/>
        <w:spacing w:before="120" w:after="283"/>
        <w:jc w:val="center"/>
        <w:rPr>
          <w:rFonts w:ascii="Calibri;sans-serif" w:hAnsi="Calibri;sans-serif"/>
          <w:b/>
          <w:color w:val="000000"/>
          <w:sz w:val="20"/>
        </w:rPr>
      </w:pPr>
      <w:bookmarkStart w:id="5" w:name="consolidated_statements_operations"/>
      <w:bookmarkEnd w:id="5"/>
      <w:r>
        <w:rPr>
          <w:rFonts w:ascii="Calibri;sans-serif" w:hAnsi="Calibri;sans-serif"/>
          <w:b/>
          <w:color w:val="000000"/>
          <w:sz w:val="20"/>
        </w:rPr>
        <w:t>Unaudited Condensed Consolidated Income Statements</w:t>
      </w:r>
    </w:p>
    <w:p>
      <w:pPr>
        <w:pStyle w:val="TextBody"/>
        <w:bidi w:val="0"/>
        <w:spacing w:before="120" w:after="283"/>
        <w:jc w:val="center"/>
        <w:rPr>
          <w:rFonts w:ascii="Times New Roman" w:hAnsi="Times New Roman"/>
          <w:sz w:val="20"/>
        </w:rPr>
      </w:pPr>
      <w:r>
        <w:rPr>
          <w:rFonts w:ascii="Calibri;sans-serif" w:hAnsi="Calibri;sans-serif"/>
          <w:b/>
          <w:color w:val="000000"/>
          <w:sz w:val="20"/>
        </w:rPr>
        <w:t>(in thousands, except share and per share data)</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24"/>
        <w:gridCol w:w="146"/>
        <w:gridCol w:w="211"/>
        <w:gridCol w:w="1141"/>
        <w:gridCol w:w="166"/>
        <w:gridCol w:w="146"/>
        <w:gridCol w:w="211"/>
        <w:gridCol w:w="1141"/>
        <w:gridCol w:w="166"/>
        <w:gridCol w:w="146"/>
        <w:gridCol w:w="211"/>
        <w:gridCol w:w="1141"/>
        <w:gridCol w:w="166"/>
        <w:gridCol w:w="146"/>
        <w:gridCol w:w="211"/>
        <w:gridCol w:w="1141"/>
        <w:gridCol w:w="491"/>
      </w:tblGrid>
      <w:tr>
        <w:trPr/>
        <w:tc>
          <w:tcPr>
            <w:tcW w:w="3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22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195,167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382,386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338,077</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2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57,138</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22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76,485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24" w:type="dxa"/>
            <w:tcBorders/>
            <w:shd w:fill="CFF0FC"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434,488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471,700</w:t>
            </w:r>
          </w:p>
        </w:tc>
        <w:tc>
          <w:tcPr>
            <w:tcW w:w="491" w:type="dxa"/>
            <w:tcBorders/>
            <w:shd w:fill="CFF0FC" w:val="clear"/>
            <w:vAlign w:val="center"/>
          </w:tcPr>
          <w:p>
            <w:pPr>
              <w:pStyle w:val="TableContents"/>
              <w:bidi w:val="0"/>
              <w:spacing w:before="0" w:after="283"/>
              <w:jc w:val="left"/>
              <w:rPr/>
            </w:pPr>
            <w:r>
              <w:rPr/>
              <w:t> </w:t>
            </w:r>
          </w:p>
        </w:tc>
      </w:tr>
      <w:tr>
        <w:trPr/>
        <w:tc>
          <w:tcPr>
            <w:tcW w:w="3224"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Cost of revenue </w:t>
            </w:r>
            <w:r>
              <w:rPr>
                <w:rFonts w:ascii="Calibri;sans-serif" w:hAnsi="Calibri;sans-serif"/>
                <w:color w:val="000000"/>
                <w:sz w:val="13"/>
              </w:rPr>
              <w:t>(1)(2)</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2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27,530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31,007</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22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26,857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46,496</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2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75,076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24" w:type="dxa"/>
            <w:tcBorders/>
            <w:shd w:fill="FFFFFF"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36,248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75,596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152,579</w:t>
            </w:r>
          </w:p>
        </w:tc>
        <w:tc>
          <w:tcPr>
            <w:tcW w:w="491" w:type="dxa"/>
            <w:tcBorders/>
            <w:shd w:fill="FFFFFF" w:val="clear"/>
            <w:vAlign w:val="center"/>
          </w:tcPr>
          <w:p>
            <w:pPr>
              <w:pStyle w:val="TableContents"/>
              <w:bidi w:val="0"/>
              <w:spacing w:before="0" w:after="283"/>
              <w:jc w:val="left"/>
              <w:rPr/>
            </w:pPr>
            <w:r>
              <w:rPr/>
              <w:t> </w:t>
            </w:r>
          </w:p>
        </w:tc>
      </w:tr>
      <w:tr>
        <w:trPr/>
        <w:tc>
          <w:tcPr>
            <w:tcW w:w="32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357,405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319,121</w:t>
            </w:r>
          </w:p>
        </w:tc>
        <w:tc>
          <w:tcPr>
            <w:tcW w:w="491" w:type="dxa"/>
            <w:tcBorders/>
            <w:shd w:fill="CFF0FC" w:val="clear"/>
            <w:vAlign w:val="center"/>
          </w:tcPr>
          <w:p>
            <w:pPr>
              <w:pStyle w:val="TableContents"/>
              <w:bidi w:val="0"/>
              <w:spacing w:before="0" w:after="283"/>
              <w:jc w:val="left"/>
              <w:rPr/>
            </w:pPr>
            <w:r>
              <w:rPr/>
              <w:t> </w:t>
            </w:r>
          </w:p>
        </w:tc>
      </w:tr>
      <w:tr>
        <w:trPr/>
        <w:tc>
          <w:tcPr>
            <w:tcW w:w="3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2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164,585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153,415</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22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73,998</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2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52,186</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22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Goodwill and other long-lived asset impairment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32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7,725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24" w:type="dxa"/>
            <w:tcBorders/>
            <w:shd w:fill="FFFFFF"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276,028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424,705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287,324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(93,584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(67,300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31,797</w:t>
            </w:r>
          </w:p>
        </w:tc>
        <w:tc>
          <w:tcPr>
            <w:tcW w:w="491" w:type="dxa"/>
            <w:tcBorders/>
            <w:shd w:fill="CFF0FC" w:val="clear"/>
            <w:vAlign w:val="center"/>
          </w:tcPr>
          <w:p>
            <w:pPr>
              <w:pStyle w:val="TableContents"/>
              <w:bidi w:val="0"/>
              <w:spacing w:before="0" w:after="283"/>
              <w:jc w:val="left"/>
              <w:rPr/>
            </w:pPr>
            <w:r>
              <w:rPr/>
              <w:t> </w:t>
            </w:r>
          </w:p>
        </w:tc>
      </w:tr>
      <w:tr>
        <w:trPr/>
        <w:tc>
          <w:tcPr>
            <w:tcW w:w="3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00"/>
              <w:jc w:val="right"/>
              <w:rPr/>
            </w:pPr>
            <w:r>
              <w:rPr/>
              <w:t> </w:t>
            </w:r>
          </w:p>
        </w:tc>
      </w:tr>
      <w:tr>
        <w:trPr/>
        <w:tc>
          <w:tcPr>
            <w:tcW w:w="32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8,076</w:t>
            </w:r>
          </w:p>
        </w:tc>
        <w:tc>
          <w:tcPr>
            <w:tcW w:w="491" w:type="dxa"/>
            <w:tcBorders/>
            <w:shd w:fill="CFF0FC" w:val="clear"/>
            <w:vAlign w:val="center"/>
          </w:tcPr>
          <w:p>
            <w:pPr>
              <w:pStyle w:val="TableContents"/>
              <w:bidi w:val="0"/>
              <w:spacing w:before="0" w:after="283"/>
              <w:ind w:left="0" w:right="0" w:firstLine="200"/>
              <w:jc w:val="left"/>
              <w:rPr/>
            </w:pPr>
            <w:r>
              <w:rPr/>
              <w:t> </w:t>
            </w:r>
          </w:p>
        </w:tc>
      </w:tr>
      <w:tr>
        <w:trPr/>
        <w:tc>
          <w:tcPr>
            <w:tcW w:w="322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24" w:type="dxa"/>
            <w:tcBorders/>
            <w:shd w:fill="CFF0FC"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9,018</w:t>
            </w:r>
          </w:p>
        </w:tc>
        <w:tc>
          <w:tcPr>
            <w:tcW w:w="491" w:type="dxa"/>
            <w:tcBorders/>
            <w:shd w:fill="CFF0FC" w:val="clear"/>
            <w:vAlign w:val="center"/>
          </w:tcPr>
          <w:p>
            <w:pPr>
              <w:pStyle w:val="TableContents"/>
              <w:bidi w:val="0"/>
              <w:spacing w:before="0" w:after="283"/>
              <w:jc w:val="left"/>
              <w:rPr/>
            </w:pPr>
            <w:r>
              <w:rPr/>
              <w:t> </w:t>
            </w:r>
          </w:p>
        </w:tc>
      </w:tr>
      <w:tr>
        <w:trPr/>
        <w:tc>
          <w:tcPr>
            <w:tcW w:w="3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income before income taxes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(90,423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(60,738</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40,815</w:t>
            </w:r>
          </w:p>
        </w:tc>
        <w:tc>
          <w:tcPr>
            <w:tcW w:w="491" w:type="dxa"/>
            <w:tcBorders/>
            <w:shd w:fill="FFFFFF" w:val="clear"/>
            <w:vAlign w:val="center"/>
          </w:tcPr>
          <w:p>
            <w:pPr>
              <w:pStyle w:val="TableContents"/>
              <w:bidi w:val="0"/>
              <w:spacing w:before="0" w:after="283"/>
              <w:jc w:val="left"/>
              <w:rPr/>
            </w:pPr>
            <w:r>
              <w:rPr/>
              <w:t> </w:t>
            </w:r>
          </w:p>
        </w:tc>
      </w:tr>
      <w:tr>
        <w:trPr/>
        <w:tc>
          <w:tcPr>
            <w:tcW w:w="32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25,683</w:t>
            </w:r>
          </w:p>
        </w:tc>
        <w:tc>
          <w:tcPr>
            <w:tcW w:w="491" w:type="dxa"/>
            <w:tcBorders/>
            <w:shd w:fill="FFFFFF" w:val="clear"/>
            <w:vAlign w:val="center"/>
          </w:tcPr>
          <w:p>
            <w:pPr>
              <w:pStyle w:val="TableContents"/>
              <w:bidi w:val="0"/>
              <w:spacing w:before="0" w:after="283"/>
              <w:jc w:val="left"/>
              <w:rPr/>
            </w:pPr>
            <w:r>
              <w:rPr/>
              <w:t> </w:t>
            </w:r>
          </w:p>
        </w:tc>
      </w:tr>
      <w:tr>
        <w:trPr/>
        <w:tc>
          <w:tcPr>
            <w:tcW w:w="32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(6,862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income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32,545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income per share attributable to common stockholders: (Note 11)</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3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Basic</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Diluted</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 xml:space="preserve">Weighted-average number of shares of common stock used in </w:t>
              <w:br/>
              <w:t>   computing net (loss) income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32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Basic</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103,827,661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113,438,057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105,501,236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114,392,961</w:t>
            </w:r>
          </w:p>
        </w:tc>
        <w:tc>
          <w:tcPr>
            <w:tcW w:w="491" w:type="dxa"/>
            <w:tcBorders/>
            <w:shd w:fill="CFF0FC" w:val="clear"/>
            <w:vAlign w:val="center"/>
          </w:tcPr>
          <w:p>
            <w:pPr>
              <w:pStyle w:val="TableContents"/>
              <w:bidi w:val="0"/>
              <w:spacing w:before="0" w:after="283"/>
              <w:jc w:val="left"/>
              <w:rPr/>
            </w:pPr>
            <w:r>
              <w:rPr/>
              <w:t> </w:t>
            </w:r>
          </w:p>
        </w:tc>
      </w:tr>
      <w:tr>
        <w:trPr/>
        <w:tc>
          <w:tcPr>
            <w:tcW w:w="32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Diluted</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103,827,661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114,490,651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105,501,236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115,197,890</w:t>
            </w:r>
          </w:p>
        </w:tc>
        <w:tc>
          <w:tcPr>
            <w:tcW w:w="491" w:type="dxa"/>
            <w:tcBorders/>
            <w:shd w:fill="FFFFFF" w:val="cle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Includes depreciation and amortization expense for the three months ended June 30, 2024 and 2023 and for the six months ended June 30, 2024 and 2023 of $3,430, $7,760, $8,119, and $15,518, respectively.</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jc w:val="both"/>
        <w:rPr>
          <w:rFonts w:ascii="Calibri;sans-serif" w:hAnsi="Calibri;sans-serif"/>
          <w:color w:val="000000"/>
          <w:sz w:val="13"/>
        </w:rPr>
      </w:pPr>
      <w:r>
        <w:rPr>
          <w:rFonts w:ascii="Calibri;sans-serif" w:hAnsi="Calibri;sans-serif"/>
          <w:color w:val="000000"/>
          <w:sz w:val="13"/>
        </w:rPr>
        <w:t>Includes impairment of other long-lived assets for the three months ended June 30, 2024 and 2023 and for the six months ended June 30, 2024 and 2023 of $180, $9, $180, and $184, respectively.</w:t>
      </w:r>
    </w:p>
    <w:p>
      <w:pPr>
        <w:pStyle w:val="TextBody"/>
        <w:bidi w:val="0"/>
        <w:spacing w:before="120" w:after="283"/>
        <w:jc w:val="center"/>
        <w:rPr>
          <w:rFonts w:ascii="Times New Roman" w:hAnsi="Times New Roman"/>
          <w:sz w:val="20"/>
        </w:rPr>
      </w:pPr>
      <w:r>
        <w:rPr>
          <w:rFonts w:ascii="Calibri;sans-serif" w:hAnsi="Calibri;sans-serif"/>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120" w:after="283"/>
        <w:jc w:val="center"/>
        <w:rPr>
          <w:rFonts w:ascii="Calibri;sans-serif" w:hAnsi="Calibri;sans-serif"/>
          <w:b/>
          <w:color w:val="000000"/>
          <w:sz w:val="20"/>
        </w:rPr>
      </w:pPr>
      <w:bookmarkStart w:id="6" w:name="consolidated_statements_comprehensive_lo"/>
      <w:bookmarkEnd w:id="6"/>
      <w:r>
        <w:rPr>
          <w:rFonts w:ascii="Calibri;sans-serif" w:hAnsi="Calibri;sans-serif"/>
          <w:b/>
          <w:color w:val="000000"/>
          <w:sz w:val="20"/>
        </w:rPr>
        <w:t>Unaudited Condensed Consolidated Statements of Comprehensive Income</w:t>
      </w:r>
    </w:p>
    <w:p>
      <w:pPr>
        <w:pStyle w:val="TextBody"/>
        <w:bidi w:val="0"/>
        <w:spacing w:before="120" w:after="283"/>
        <w:jc w:val="center"/>
        <w:rPr>
          <w:rFonts w:ascii="Calibri;sans-serif" w:hAnsi="Calibri;sans-serif"/>
          <w:b/>
          <w:color w:val="000000"/>
          <w:sz w:val="20"/>
        </w:rPr>
      </w:pPr>
      <w:r>
        <w:rPr>
          <w:rFonts w:ascii="Calibri;sans-serif" w:hAnsi="Calibri;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064"/>
        <w:gridCol w:w="146"/>
        <w:gridCol w:w="211"/>
        <w:gridCol w:w="736"/>
        <w:gridCol w:w="166"/>
        <w:gridCol w:w="146"/>
        <w:gridCol w:w="211"/>
        <w:gridCol w:w="676"/>
        <w:gridCol w:w="166"/>
        <w:gridCol w:w="146"/>
        <w:gridCol w:w="211"/>
        <w:gridCol w:w="736"/>
        <w:gridCol w:w="166"/>
        <w:gridCol w:w="146"/>
        <w:gridCol w:w="211"/>
        <w:gridCol w:w="676"/>
        <w:gridCol w:w="391"/>
      </w:tblGrid>
      <w:tr>
        <w:trPr/>
        <w:tc>
          <w:tcPr>
            <w:tcW w:w="5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25,683</w:t>
            </w:r>
          </w:p>
        </w:tc>
        <w:tc>
          <w:tcPr>
            <w:tcW w:w="391" w:type="dxa"/>
            <w:tcBorders/>
            <w:shd w:fill="CFF0FC" w:val="clear"/>
            <w:vAlign w:val="center"/>
          </w:tcPr>
          <w:p>
            <w:pPr>
              <w:pStyle w:val="TableContents"/>
              <w:bidi w:val="0"/>
              <w:spacing w:before="0" w:after="283"/>
              <w:jc w:val="left"/>
              <w:rPr/>
            </w:pPr>
            <w:r>
              <w:rPr/>
              <w:t> </w:t>
            </w:r>
          </w:p>
        </w:tc>
      </w:tr>
      <w:tr>
        <w:trPr/>
        <w:tc>
          <w:tcPr>
            <w:tcW w:w="50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0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comprehensive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(68,924</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(48,222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25,986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Comprehensive loss attributable to redeemable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0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Comprehensive (loss) income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(48,222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32,848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sz w:val="20"/>
        </w:rPr>
      </w:pPr>
      <w:r>
        <w:rPr>
          <w:rFonts w:ascii="Calibri;sans-serif" w:hAnsi="Calibri;sans-serif"/>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Calibri;sans-serif" w:hAnsi="Calibri;sans-serif"/>
          <w:color w:val="000000"/>
          <w:sz w:val="20"/>
        </w:rPr>
      </w:pPr>
      <w:r>
        <w:rPr>
          <w:rFonts w:ascii="Calibri;sans-serif" w:hAnsi="Calibr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14"/>
        </w:rPr>
      </w:pPr>
      <w:r>
        <w:rPr>
          <w:rFonts w:ascii="Calibri;sans-serif" w:hAnsi="Calibri;sans-serif"/>
          <w:b/>
          <w:color w:val="000000"/>
          <w:sz w:val="14"/>
        </w:rPr>
        <w:t>CarGurus, Inc.</w:t>
      </w:r>
    </w:p>
    <w:p>
      <w:pPr>
        <w:pStyle w:val="TextBody"/>
        <w:bidi w:val="0"/>
        <w:jc w:val="center"/>
        <w:rPr>
          <w:rFonts w:ascii="Times New Roman" w:hAnsi="Times New Roman"/>
          <w:sz w:val="20"/>
        </w:rPr>
      </w:pPr>
      <w:bookmarkStart w:id="7" w:name="stockholders_equity"/>
      <w:bookmarkEnd w:id="7"/>
      <w:r>
        <w:rPr>
          <w:rFonts w:ascii="Calibri;sans-serif" w:hAnsi="Calibri;sans-serif"/>
          <w:b/>
          <w:color w:val="000000"/>
          <w:sz w:val="14"/>
        </w:rPr>
        <w:t>Unaudited Condensed Consolidated Statements of Redeemable Noncontrolling Interest and Stockholders’ Equity</w:t>
      </w:r>
      <w:r>
        <w:rPr>
          <w:rFonts w:ascii="Times New Roman" w:hAnsi="Times New Roman"/>
          <w:color w:val="000000"/>
          <w:sz w:val="20"/>
        </w:rPr>
        <w:t xml:space="preserve"> </w:t>
      </w:r>
    </w:p>
    <w:p>
      <w:pPr>
        <w:pStyle w:val="TextBody"/>
        <w:bidi w:val="0"/>
        <w:jc w:val="center"/>
        <w:rPr>
          <w:rFonts w:ascii="Calibri;sans-serif" w:hAnsi="Calibri;sans-serif"/>
          <w:b/>
          <w:color w:val="000000"/>
          <w:sz w:val="14"/>
        </w:rPr>
      </w:pPr>
      <w:r>
        <w:rPr>
          <w:rFonts w:ascii="Calibri;sans-serif" w:hAnsi="Calibri;sans-serif"/>
          <w:b/>
          <w:color w:val="000000"/>
          <w:sz w:val="14"/>
        </w:rPr>
        <w:t>(in thousands, except share data)</w:t>
      </w:r>
    </w:p>
    <w:tbl>
      <w:tblPr>
        <w:tblW w:w="10205" w:type="dxa"/>
        <w:jc w:val="left"/>
        <w:tblInd w:w="0" w:type="dxa"/>
        <w:tblLayout w:type="fixed"/>
        <w:tblCellMar>
          <w:top w:w="28" w:type="dxa"/>
          <w:left w:w="28" w:type="dxa"/>
          <w:bottom w:w="28" w:type="dxa"/>
          <w:right w:w="28" w:type="dxa"/>
        </w:tblCellMar>
      </w:tblPr>
      <w:tblGrid>
        <w:gridCol w:w="1104"/>
        <w:gridCol w:w="146"/>
        <w:gridCol w:w="227"/>
        <w:gridCol w:w="599"/>
        <w:gridCol w:w="146"/>
        <w:gridCol w:w="146"/>
        <w:gridCol w:w="146"/>
        <w:gridCol w:w="706"/>
        <w:gridCol w:w="146"/>
        <w:gridCol w:w="146"/>
        <w:gridCol w:w="166"/>
        <w:gridCol w:w="346"/>
        <w:gridCol w:w="146"/>
        <w:gridCol w:w="146"/>
        <w:gridCol w:w="146"/>
        <w:gridCol w:w="646"/>
        <w:gridCol w:w="146"/>
        <w:gridCol w:w="146"/>
        <w:gridCol w:w="166"/>
        <w:gridCol w:w="346"/>
        <w:gridCol w:w="146"/>
        <w:gridCol w:w="146"/>
        <w:gridCol w:w="166"/>
        <w:gridCol w:w="496"/>
        <w:gridCol w:w="146"/>
        <w:gridCol w:w="146"/>
        <w:gridCol w:w="166"/>
        <w:gridCol w:w="496"/>
        <w:gridCol w:w="146"/>
        <w:gridCol w:w="146"/>
        <w:gridCol w:w="252"/>
        <w:gridCol w:w="619"/>
        <w:gridCol w:w="146"/>
        <w:gridCol w:w="146"/>
        <w:gridCol w:w="184"/>
        <w:gridCol w:w="553"/>
        <w:gridCol w:w="193"/>
      </w:tblGrid>
      <w:tr>
        <w:trPr/>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Redeemable</w:t>
              <w:b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Class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Retained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Accumulated</w:t>
              <w:br/>
              <w:t>Other</w:t>
              <w:br/>
              <w:t>Comprehensive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shd w:fill="FFFFFF" w:val="cle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Total</w:t>
              <w:br/>
              <w:t>Stockholders’</w:t>
            </w:r>
          </w:p>
        </w:tc>
        <w:tc>
          <w:tcPr>
            <w:tcW w:w="193" w:type="dxa"/>
            <w:tcBorders/>
            <w:shd w:fill="FFFFFF" w:val="clear"/>
            <w:vAlign w:val="center"/>
          </w:tcPr>
          <w:p>
            <w:pPr>
              <w:pStyle w:val="TableContents"/>
              <w:bidi w:val="0"/>
              <w:spacing w:before="0" w:after="283"/>
              <w:jc w:val="center"/>
              <w:rPr/>
            </w:pPr>
            <w:r>
              <w:rPr/>
              <w:t> </w:t>
            </w:r>
          </w:p>
        </w:tc>
      </w:tr>
      <w:tr>
        <w:trPr/>
        <w:tc>
          <w:tcPr>
            <w:tcW w:w="11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2"/>
              </w:rPr>
            </w:pPr>
            <w:r>
              <w:rPr>
                <w:rFonts w:ascii="Calibri;sans-serif" w:hAnsi="Calibri;sans-serif"/>
                <w:b/>
                <w:color w:val="000000"/>
                <w:sz w:val="12"/>
              </w:rPr>
              <w:t>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92,175,243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263,498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354,147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(901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616,852</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income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21,301</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17,649</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36,455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11</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615,383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(213,042</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(5,097</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(5,097</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(3,538,194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(81,751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(81,755</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(599</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March 31, 2024</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89,075,845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194,309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375,448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568,362</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loss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(68,721</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(68,721</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17,198</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54,382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803,405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(273,422</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(6,291</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(6,291</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(2,654,807</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(61,791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(61,794</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Other (Note 6)</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3,507</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(203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June 30, 2024</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87,005,403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146,946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306,727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452,073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1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December 31, 2022</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36,749</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101,636,649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413,092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323,043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(1,644</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734,609</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(loss) income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(4,266</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16,132</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16,049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16,049</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19</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959,935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(335,448</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(5,652</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(5,652</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(3,989,861</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(65,760</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(65,764</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Tax distributions to redeemable noncontrolling interest holders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(8</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415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as of March 31, 2023</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32,475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98,278,975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357,748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339,175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695,808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Net (loss) income</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(2,596</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16,413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16,413</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15,895</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10</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697,879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Payment of withholding taxes on net share settlements of restricted stock units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(240,674</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(5,196</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(5,196</w:t>
            </w:r>
          </w:p>
        </w:tc>
        <w:tc>
          <w:tcPr>
            <w:tcW w:w="193"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Repurchase of common stock</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(1,311,387</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(21,963</w:t>
            </w:r>
          </w:p>
        </w:tc>
        <w:tc>
          <w:tcPr>
            <w:tcW w:w="146"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6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4" w:type="dxa"/>
            <w:tcBorders/>
            <w:shd w:fill="CFF0FC" w:val="clear"/>
            <w:vAlign w:val="center"/>
          </w:tcPr>
          <w:p>
            <w:pPr>
              <w:pStyle w:val="TableContents"/>
              <w:bidi w:val="0"/>
              <w:spacing w:before="0" w:after="283"/>
              <w:jc w:val="left"/>
              <w:rPr/>
            </w:pPr>
            <w:r>
              <w:rPr/>
              <w:t> </w:t>
            </w:r>
          </w:p>
        </w:tc>
        <w:tc>
          <w:tcPr>
            <w:tcW w:w="553" w:type="dxa"/>
            <w:tcBorders/>
            <w:shd w:fill="CFF0FC"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(21,964</w:t>
            </w:r>
          </w:p>
        </w:tc>
        <w:tc>
          <w:tcPr>
            <w:tcW w:w="193"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Tax distributions to redeemable noncontrolling interest holders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(14</w:t>
            </w:r>
          </w:p>
        </w:tc>
        <w:tc>
          <w:tcPr>
            <w:tcW w:w="146"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6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1104" w:type="dxa"/>
            <w:tcBorders/>
            <w:shd w:fill="CFF0FC"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CFF0FC" w:val="cle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(112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r>
      <w:tr>
        <w:trPr/>
        <w:tc>
          <w:tcPr>
            <w:tcW w:w="1104" w:type="dxa"/>
            <w:tcBorders/>
            <w:shd w:fill="FFFFFF" w:val="cle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Balance at June 30, 2023</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29,865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97,426,273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15,999,173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346,494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355,588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6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(1,341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2"/>
              </w:rPr>
            </w:pPr>
            <w:r>
              <w:rPr>
                <w:rFonts w:ascii="Calibri;sans-serif" w:hAnsi="Calibri;sans-serif"/>
                <w:color w:val="000000"/>
                <w:sz w:val="12"/>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2"/>
              </w:rPr>
            </w:pPr>
            <w:r>
              <w:rPr>
                <w:rFonts w:ascii="Calibri;sans-serif" w:hAnsi="Calibri;sans-serif"/>
                <w:color w:val="000000"/>
                <w:sz w:val="12"/>
              </w:rPr>
              <w:t>700,854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pPr>
      <w:r>
        <w:rPr/>
        <w:t> </w:t>
      </w:r>
    </w:p>
    <w:p>
      <w:pPr>
        <w:pStyle w:val="TextBody"/>
        <w:bidi w:val="0"/>
        <w:spacing w:before="120" w:after="283"/>
        <w:jc w:val="center"/>
        <w:rPr>
          <w:rFonts w:ascii="Calibri;sans-serif" w:hAnsi="Calibri;sans-serif"/>
          <w:color w:val="000000"/>
          <w:sz w:val="14"/>
        </w:rPr>
      </w:pPr>
      <w:r>
        <w:rPr>
          <w:rFonts w:ascii="Calibri;sans-serif" w:hAnsi="Calibri;sans-serif"/>
          <w:color w:val="000000"/>
          <w:sz w:val="14"/>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18"/>
        </w:rPr>
      </w:pPr>
      <w:r>
        <w:rPr>
          <w:rFonts w:ascii="Calibri;sans-serif" w:hAnsi="Calibri;sans-serif"/>
          <w:b/>
          <w:color w:val="000000"/>
          <w:sz w:val="18"/>
        </w:rPr>
        <w:t>CarGurus, Inc.</w:t>
      </w:r>
    </w:p>
    <w:p>
      <w:pPr>
        <w:pStyle w:val="TextBody"/>
        <w:bidi w:val="0"/>
        <w:spacing w:before="120" w:after="283"/>
        <w:jc w:val="center"/>
        <w:rPr>
          <w:rFonts w:ascii="Calibri;sans-serif" w:hAnsi="Calibri;sans-serif"/>
          <w:b/>
          <w:color w:val="000000"/>
          <w:sz w:val="18"/>
        </w:rPr>
      </w:pPr>
      <w:bookmarkStart w:id="8" w:name="consolidatedstatementsofcashflows"/>
      <w:bookmarkEnd w:id="8"/>
      <w:r>
        <w:rPr>
          <w:rFonts w:ascii="Calibri;sans-serif" w:hAnsi="Calibri;sans-serif"/>
          <w:b/>
          <w:color w:val="000000"/>
          <w:sz w:val="18"/>
        </w:rPr>
        <w:t>Unaudited Condensed Consolidated Statements of Cash Flows</w:t>
      </w:r>
    </w:p>
    <w:p>
      <w:pPr>
        <w:pStyle w:val="TextBody"/>
        <w:bidi w:val="0"/>
        <w:spacing w:before="120" w:after="283"/>
        <w:jc w:val="center"/>
        <w:rPr>
          <w:rFonts w:ascii="Calibri;sans-serif" w:hAnsi="Calibri;sans-serif"/>
          <w:b/>
          <w:color w:val="000000"/>
          <w:sz w:val="18"/>
        </w:rPr>
      </w:pPr>
      <w:r>
        <w:rPr>
          <w:rFonts w:ascii="Calibri;sans-serif" w:hAnsi="Calibri;sans-serif"/>
          <w:b/>
          <w:color w:val="000000"/>
          <w:sz w:val="18"/>
        </w:rPr>
        <w:t>(in thousands)</w:t>
      </w:r>
    </w:p>
    <w:p>
      <w:pPr>
        <w:pStyle w:val="TextBody"/>
        <w:bidi w:val="0"/>
        <w:jc w:val="center"/>
        <w:rPr/>
      </w:pPr>
      <w:r>
        <w:rPr/>
        <w:t> </w:t>
      </w:r>
    </w:p>
    <w:p>
      <w:pPr>
        <w:pStyle w:val="TextBody"/>
        <w:bidi w:val="0"/>
        <w:jc w:val="both"/>
        <w:rPr/>
      </w:pPr>
      <w:r>
        <w:rPr/>
        <w:t> </w:t>
      </w:r>
    </w:p>
    <w:tbl>
      <w:tblPr>
        <w:tblW w:w="9504" w:type="dxa"/>
        <w:jc w:val="left"/>
        <w:tblInd w:w="0" w:type="dxa"/>
        <w:tblLayout w:type="fixed"/>
        <w:tblCellMar>
          <w:top w:w="28" w:type="dxa"/>
          <w:left w:w="28" w:type="dxa"/>
          <w:bottom w:w="28" w:type="dxa"/>
          <w:right w:w="28" w:type="dxa"/>
        </w:tblCellMar>
      </w:tblPr>
      <w:tblGrid>
        <w:gridCol w:w="6841"/>
        <w:gridCol w:w="146"/>
        <w:gridCol w:w="196"/>
        <w:gridCol w:w="736"/>
        <w:gridCol w:w="151"/>
        <w:gridCol w:w="146"/>
        <w:gridCol w:w="196"/>
        <w:gridCol w:w="736"/>
        <w:gridCol w:w="356"/>
      </w:tblGrid>
      <w:tr>
        <w:trPr/>
        <w:tc>
          <w:tcPr>
            <w:tcW w:w="6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righ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Consolidated net (loss) income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(47,420</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25,683</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Adjustments to reconcile consolidated net (loss) income to 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56" w:type="dxa"/>
            <w:tcBorders/>
            <w:shd w:fill="CFF0FC" w:val="clear"/>
            <w:vAlign w:val="center"/>
          </w:tcPr>
          <w:p>
            <w:pPr>
              <w:pStyle w:val="TableContents"/>
              <w:bidi w:val="0"/>
              <w:spacing w:before="0" w:after="283"/>
              <w:jc w:val="righ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Depreciation and amortization</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13,144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23,243</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Gain on sale of property and equipment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(460</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Currency loss (gain) on foreign denominated transactions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(136</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Other non-cash (income) expense, net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(816</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16</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Deferred taxes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(44,164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(16,411</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Provision (recoveries) for doubtful accounts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(171</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Stock-based compensation expense</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31,159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29,507</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Amortization of deferred financing costs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258</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Amortization of deferred contract costs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6,633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5,603</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Goodwill and other long-lived asset impairment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127,655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184</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Changes in operating assets and liabilities: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ind w:left="0" w:right="0" w:firstLine="160"/>
              <w:jc w:val="right"/>
              <w:rPr/>
            </w:pPr>
            <w:r>
              <w:rPr/>
              <w:t> </w:t>
            </w:r>
          </w:p>
        </w:tc>
      </w:tr>
      <w:tr>
        <w:trPr/>
        <w:tc>
          <w:tcPr>
            <w:tcW w:w="684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Accounts receivable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13,241</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684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Inventory</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(714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4,740</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684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Prepaid expenses, prepaid income taxes, and other assets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7,425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3,454</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684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Deferred contract costs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(7,448</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(9,738</w:t>
            </w:r>
          </w:p>
        </w:tc>
        <w:tc>
          <w:tcPr>
            <w:tcW w:w="356" w:type="dxa"/>
            <w:tcBorders/>
            <w:shd w:fill="FFFFFF" w:val="clear"/>
            <w:vAlign w:val="center"/>
          </w:tcPr>
          <w:p>
            <w:pPr>
              <w:pStyle w:val="TableContents"/>
              <w:bidi w:val="0"/>
              <w:spacing w:before="0" w:after="283"/>
              <w:ind w:left="0" w:right="0" w:firstLine="160"/>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Accounts payable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9,301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4,140</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684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Accrued expenses, accrued income taxes, and other liabilities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(862</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(4,091</w:t>
            </w:r>
          </w:p>
        </w:tc>
        <w:tc>
          <w:tcPr>
            <w:tcW w:w="356" w:type="dxa"/>
            <w:tcBorders/>
            <w:shd w:fill="FFFFFF" w:val="clear"/>
            <w:vAlign w:val="center"/>
          </w:tcPr>
          <w:p>
            <w:pPr>
              <w:pStyle w:val="TableContents"/>
              <w:bidi w:val="0"/>
              <w:spacing w:before="0" w:after="283"/>
              <w:ind w:left="0" w:right="0" w:firstLine="160"/>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Deferred revenue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9,016</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6841" w:type="dxa"/>
            <w:tcBorders/>
            <w:shd w:fill="FFFFFF" w:val="clear"/>
            <w:vAlign w:val="center"/>
          </w:tcPr>
          <w:p>
            <w:pPr>
              <w:pStyle w:val="TableContents"/>
              <w:bidi w:val="0"/>
              <w:spacing w:before="0" w:after="283"/>
              <w:ind w:left="160" w:right="0" w:firstLine="160"/>
              <w:jc w:val="left"/>
              <w:rPr>
                <w:rFonts w:ascii="Calibri;sans-serif" w:hAnsi="Calibri;sans-serif"/>
                <w:color w:val="000000"/>
                <w:sz w:val="16"/>
              </w:rPr>
            </w:pPr>
            <w:r>
              <w:rPr>
                <w:rFonts w:ascii="Calibri;sans-serif" w:hAnsi="Calibri;sans-serif"/>
                <w:color w:val="000000"/>
                <w:sz w:val="16"/>
              </w:rPr>
              <w:t>Lease obligations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27,386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7,603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cash provided by operating activities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123,561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95,681</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Investing Activities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Purchases of property and equipment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(54,649</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(4,255</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Proceeds from sale of property and equipment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460</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Capitalization of website development costs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(10,707</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(7,432</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Purchases of short-term investments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(494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(95,506</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Sale of short-term investments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21,218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5,000</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Advance payments to customers, net of collections</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(2,601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cash used in investing activities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(44,373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(104,334</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Financing Activities</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Proceeds from issuance of common stock upon exercise of stock options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29</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Payment of withholding taxes on net share settlements of restricted stock units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(11,405</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(6,894</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Repurchases of common stock</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(142,479</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(91,458</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Payment of finance lease obligations</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(37</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(34</w:t>
            </w:r>
          </w:p>
        </w:tc>
        <w:tc>
          <w:tcPr>
            <w:tcW w:w="35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Payment of tax distributions to redeemable noncontrolling interest holders</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(38</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Change in gross advance payments received from third-party transaction processor</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(2,674</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cash used in financing activities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(153,975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(101,069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Impact of foreign currency on cash, cash equivalents, and restricted cash</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(774</w:t>
            </w:r>
          </w:p>
        </w:tc>
        <w:tc>
          <w:tcPr>
            <w:tcW w:w="15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211</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Net decrease in cash, cash equivalents, and restricted cash</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(75,561</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(109,511</w:t>
            </w:r>
          </w:p>
        </w:tc>
        <w:tc>
          <w:tcPr>
            <w:tcW w:w="35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cash equivalents, and restricted cash at beginning of period</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293,926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484,132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218,365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374,621</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paid for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25,904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36,303</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paid for 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7,534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9,831</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309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279</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Supplemental noncash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56" w:type="dxa"/>
            <w:tcBorders/>
            <w:shd w:fill="FFFFFF" w:val="clear"/>
            <w:vAlign w:val="center"/>
          </w:tcPr>
          <w:p>
            <w:pPr>
              <w:pStyle w:val="TableContents"/>
              <w:bidi w:val="0"/>
              <w:spacing w:before="0" w:after="283"/>
              <w:jc w:val="righ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Unpaid purchases of property and equipment and capitalized hosting arrangements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7,704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4,509</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Unpaid withholding taxes on net share settlement of restricted stock units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3,958</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Unpaid excise tax on repurchases of 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2,654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559</w:t>
            </w:r>
          </w:p>
        </w:tc>
        <w:tc>
          <w:tcPr>
            <w:tcW w:w="356" w:type="dxa"/>
            <w:tcBorders/>
            <w:shd w:fill="CFF0FC" w:val="clear"/>
            <w:vAlign w:val="center"/>
          </w:tcPr>
          <w:p>
            <w:pPr>
              <w:pStyle w:val="TableContents"/>
              <w:bidi w:val="0"/>
              <w:spacing w:before="0" w:after="283"/>
              <w:jc w:val="left"/>
              <w:rPr/>
            </w:pPr>
            <w:r>
              <w:rPr/>
              <w:t> </w:t>
            </w:r>
          </w:p>
        </w:tc>
      </w:tr>
      <w:tr>
        <w:trPr/>
        <w:tc>
          <w:tcPr>
            <w:tcW w:w="6841"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Capitalized stock-based compensation expense in website development and</w:t>
              <w:br/>
              <w:t>   internal-use software costs and hosting arrangements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3,688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2,437</w:t>
            </w:r>
          </w:p>
        </w:tc>
        <w:tc>
          <w:tcPr>
            <w:tcW w:w="356" w:type="dxa"/>
            <w:tcBorders/>
            <w:shd w:fill="FFFFFF" w:val="clear"/>
            <w:vAlign w:val="center"/>
          </w:tcPr>
          <w:p>
            <w:pPr>
              <w:pStyle w:val="TableContents"/>
              <w:bidi w:val="0"/>
              <w:spacing w:before="0" w:after="283"/>
              <w:jc w:val="left"/>
              <w:rPr/>
            </w:pPr>
            <w:r>
              <w:rPr/>
              <w:t> </w:t>
            </w:r>
          </w:p>
        </w:tc>
      </w:tr>
      <w:tr>
        <w:trPr/>
        <w:tc>
          <w:tcPr>
            <w:tcW w:w="684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Obtaining a right-of-use asset in exchange for an operating lease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(5,029</w:t>
            </w:r>
          </w:p>
        </w:tc>
        <w:tc>
          <w:tcPr>
            <w:tcW w:w="151"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146" w:type="dxa"/>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6"/>
              </w:rPr>
            </w:pPr>
            <w:r>
              <w:rPr>
                <w:rFonts w:ascii="Calibri;sans-serif" w:hAnsi="Calibri;sans-serif"/>
                <w:color w:val="000000"/>
                <w:sz w:val="16"/>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16"/>
              </w:rPr>
            </w:pPr>
            <w:r>
              <w:rPr>
                <w:rFonts w:ascii="Calibri;sans-serif" w:hAnsi="Calibri;sans-serif"/>
                <w:color w:val="000000"/>
                <w:sz w:val="16"/>
              </w:rPr>
              <w:t>144,556</w:t>
            </w:r>
          </w:p>
        </w:tc>
        <w:tc>
          <w:tcPr>
            <w:tcW w:w="356" w:type="dxa"/>
            <w:tcBorders/>
            <w:shd w:fill="CFF0FC" w:val="clear"/>
            <w:vAlign w:val="center"/>
          </w:tcPr>
          <w:p>
            <w:pPr>
              <w:pStyle w:val="TableContents"/>
              <w:bidi w:val="0"/>
              <w:spacing w:before="0" w:after="283"/>
              <w:jc w:val="left"/>
              <w:rPr/>
            </w:pPr>
            <w:r>
              <w:rPr/>
              <w:t> </w:t>
            </w:r>
          </w:p>
        </w:tc>
      </w:tr>
    </w:tbl>
    <w:p>
      <w:pPr>
        <w:pStyle w:val="TextBody"/>
        <w:bidi w:val="0"/>
        <w:spacing w:before="160" w:after="283"/>
        <w:jc w:val="center"/>
        <w:rPr>
          <w:rFonts w:ascii="Calibri;sans-serif" w:hAnsi="Calibri;sans-serif"/>
          <w:color w:val="000000"/>
          <w:sz w:val="18"/>
        </w:rPr>
      </w:pPr>
      <w:r>
        <w:rPr>
          <w:rFonts w:ascii="Calibri;sans-serif" w:hAnsi="Calibri;sans-serif"/>
          <w:color w:val="000000"/>
          <w:sz w:val="18"/>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CarGurus, Inc.</w:t>
      </w:r>
    </w:p>
    <w:p>
      <w:pPr>
        <w:pStyle w:val="TextBody"/>
        <w:bidi w:val="0"/>
        <w:spacing w:before="240" w:after="283"/>
        <w:jc w:val="center"/>
        <w:rPr>
          <w:rFonts w:ascii="Times New Roman" w:hAnsi="Times New Roman"/>
          <w:sz w:val="20"/>
        </w:rPr>
      </w:pPr>
      <w:bookmarkStart w:id="9" w:name="notes_to_consolidated_financial_statemen"/>
      <w:bookmarkEnd w:id="9"/>
      <w:r>
        <w:rPr>
          <w:rFonts w:ascii="Calibri;sans-serif" w:hAnsi="Calibri;sans-serif"/>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Calibri;sans-serif" w:hAnsi="Calibri;sans-serif"/>
          <w:b/>
          <w:color w:val="000000"/>
          <w:sz w:val="20"/>
        </w:rPr>
        <w:t>(dollars in thousands, except share and per share data, unless otherwise noted)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1. Organization and Business Description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CarGurus, Inc. (the "Company") is a multinational, online automotive platform for buying and selling vehicles that is building upon its industry-leading listings marketplace with both digital retail solutions and the CarOffer, LLC ("CarOffer") online wholesale platform. The CarGurus platform gives consumers the confidence to purchase and/or sell a vehicle either online or in-person,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operates principally in the United States (the "U.S."). In the U.S. it also operates as independent brands the Autolist online marketplace and the CarOffer online wholesale platform. In addition to the U.S., the Company operates online marketplaces under the CarGurus brand in Canada and the United Kingdom (the "U.K."). In the U.K. it also operates as an independent brand the PistonHeads online marketplace.</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has subsidiaries in the U.S., Canada, Ireland, and the U.K. and it has two</w:t>
      </w:r>
      <w:r>
        <w:rPr>
          <w:rFonts w:ascii="Times New Roman" w:hAnsi="Times New Roman"/>
          <w:color w:val="000000"/>
          <w:sz w:val="20"/>
        </w:rPr>
        <w:t xml:space="preserve"> </w:t>
      </w:r>
      <w:r>
        <w:rPr>
          <w:rFonts w:ascii="Calibri;sans-serif" w:hAnsi="Calibri;sans-serif"/>
          <w:color w:val="000000"/>
          <w:sz w:val="20"/>
        </w:rPr>
        <w:t>reportable segments, U.S. Marketplace and Digital Wholesale. See Note 13 of the Unaudited Condensed Consolidated Financial Statements (as defined below) for further segment reporting and geographic information.</w:t>
      </w:r>
    </w:p>
    <w:p>
      <w:pPr>
        <w:pStyle w:val="TextBody"/>
        <w:bidi w:val="0"/>
        <w:spacing w:before="240" w:after="283"/>
        <w:jc w:val="left"/>
        <w:rPr>
          <w:rFonts w:ascii="Calibri;sans-serif" w:hAnsi="Calibri;sans-serif"/>
          <w:b/>
          <w:color w:val="000000"/>
          <w:sz w:val="20"/>
        </w:rPr>
      </w:pPr>
      <w:r>
        <w:rPr>
          <w:rFonts w:ascii="Calibri;sans-serif" w:hAnsi="Calibri;sans-serif"/>
          <w:b/>
          <w:color w:val="000000"/>
          <w:sz w:val="20"/>
        </w:rPr>
        <w:t>2. Summary of Significant Accounting Policies</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Basis of Presentation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U.S. (“GAAP”). Any reference in these notes to applicable guidance is meant to refer to GAAP as found in the Accounting Standards Codification (“ASC”) and Accounting Standards Update ("ASU") of the Financial Accounting Standards Board (“FASB”).</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statements for interim periods. These interim period results are not necessarily indicative of the results to be expected for any other interim period or the full year.</w:t>
      </w:r>
    </w:p>
    <w:p>
      <w:pPr>
        <w:pStyle w:val="TextBody"/>
        <w:bidi w:val="0"/>
        <w:spacing w:before="240" w:after="283"/>
        <w:jc w:val="both"/>
        <w:rPr>
          <w:rFonts w:ascii="Times New Roman" w:hAnsi="Times New Roman"/>
          <w:sz w:val="20"/>
        </w:rPr>
      </w:pPr>
      <w:r>
        <w:rPr>
          <w:rFonts w:ascii="Calibri;sans-serif" w:hAnsi="Calibri;sans-serif"/>
          <w:color w:val="000000"/>
          <w:sz w:val="20"/>
        </w:rPr>
        <w:t>The Unaudited Condensed Consolidated Financial Statements should be read in conjunction with the Company’s audited consolidated financial statements and the notes thereto included in the Company’s Annual Report on Form 10-K for the fiscal year ended December 31, 2023, filed with the SEC on February 26, 2024 (the “Annual Report”).</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While the Company disclosed unrealized gain on short-term investments and realized gain on short-term investments separately in the Unaudited Condensed Consolidated Statements of Cash Flows in the Company's Quarterly Report on Form 10-Q for the quarter ended June 30, 2023, filed with the SEC on August 9, 2023, the accompanying Unaudited Condensed Consolidated Statements of Cash Flows for the quarter ended June 30, 2023 present unrealized gain on short-term investments and realized gain on short-term investments consolidated within other noncash expense, net to conform to the current year presentation.</w:t>
      </w:r>
    </w:p>
    <w:p>
      <w:pPr>
        <w:pStyle w:val="TextBody"/>
        <w:bidi w:val="0"/>
        <w:spacing w:before="240" w:after="283"/>
        <w:jc w:val="both"/>
        <w:rPr>
          <w:rFonts w:ascii="Times New Roman" w:hAnsi="Times New Roman"/>
          <w:sz w:val="20"/>
        </w:rPr>
      </w:pPr>
      <w:r>
        <w:rPr>
          <w:rFonts w:ascii="Calibri;sans-serif" w:hAnsi="Calibri;sans-serif"/>
          <w:color w:val="000000"/>
          <w:sz w:val="20"/>
        </w:rPr>
        <w:t>While the Company disclosed unpaid excise tax on repurchases of common stock within unpaid repurchases of common stock in the Unaudited Condensed Consolidated Statements of Cash Flows in the Company's Quarterly Report on Form 10-Q for the quarter ended June 30, 2023, filed with the SEC on August 9, 2023, the accompanying Unaudited Condensed Consolidated Statements of Cash Flows for the quarter ended June 30, 2023</w:t>
      </w:r>
      <w:r>
        <w:rPr>
          <w:rFonts w:ascii="Times New Roman" w:hAnsi="Times New Roman"/>
          <w:color w:val="000000"/>
          <w:sz w:val="20"/>
        </w:rPr>
        <w:t xml:space="preserve"> </w:t>
      </w:r>
      <w:r>
        <w:rPr>
          <w:rFonts w:ascii="Calibri;sans-serif" w:hAnsi="Calibri;sans-serif"/>
          <w:color w:val="000000"/>
          <w:sz w:val="20"/>
        </w:rPr>
        <w:t>present unpaid excise tax on repurchases of common stock separately from unpaid repurchases of common stock to conform to the current year presentation.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Principles of Consolidation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Unaudited Condensed Consolidated Financial Statements include the accounts of the Company and its subsidiaries. All intercompany balances and transactions have been eliminated in consolidation.</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Subsequent Event Considerations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considers events or transactions that occur after the balance sheet date but prior to the issuance of the Unaudited Condensed Consolidated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Use of Estimates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preparation of the Unaudited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Critical estimates relied upon in preparing the Unaudited Condensed Consolidated Financial Statements include the determination of sales allowance and variable consideration in the Company’s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the Company’s net deferred tax assets and related valuation allowance, the valuation of inventory, and the valuation of liability-classified compensation awards. Accordingly, the Company considers these to be its critical accounting estimates, and believes that of the Company’s significant accounting policies, these involve the greatest degree of judgment and complexity. For the three and six months ended June 30, 2024, there were no estimates related to the valuation of redeemable noncontrolling interest and the valuation of liability-classified compensation awards.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2024, the Company identified a triggering event for goodwill and other long-lived assets impairment testing purposes at the CarOffer reporting unit due to recent organizational changes and declines in the volume of the number of vehicles processed from car dealers, consumers, and other marketplaces through the CarOffer website within the applicable period within the Digital Wholesale segment ("Transactions"), which resulted in revisions to the Company’s financial projections for the CarOffer reporting unit. The Company performed an updated fair value analysis of the CarOffer reporting unit, resulting in an excess of carrying value over fair value of the CarOffer reporting unit.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Due to the partial impairment of the CarOffer reporting unit goodwill, the remaining goodwill balance related to this reporting unit is still considered to be at risk for future impairments. If projected future operating results further decline, including as a result of economic conditions or operational challenges, the Company may need to record additional impairment charges to further reduce the goodwill at the CarOffer reporting unit, which could be material and negatively affect its operations.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further discussion of impairments related to goodwill and other long-lived assets, refer to Note 6 of the Unaudited Condensed Consolidated Financial Statements.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Concentration of Credit Risk</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has no significant off-balance sheet risk, such as foreign exchange contracts, option contracts, or other foreign hedging arrangements.</w:t>
      </w:r>
      <w:r>
        <w:rPr>
          <w:rFonts w:ascii="Times New Roman" w:hAnsi="Times New Roman"/>
          <w:color w:val="000000"/>
          <w:sz w:val="20"/>
        </w:rPr>
        <w:t xml:space="preserve"> </w:t>
      </w:r>
      <w:r>
        <w:rPr>
          <w:rFonts w:ascii="Calibri;sans-serif" w:hAnsi="Calibri;sans-serif"/>
          <w:color w:val="000000"/>
          <w:sz w:val="20"/>
        </w:rPr>
        <w:t>Financial instruments that potentially expose the Company to concentrations of credit risk consist primarily of cash, cash equivalents, short-term investments,</w:t>
      </w:r>
      <w:r>
        <w:rPr>
          <w:rFonts w:ascii="Times New Roman" w:hAnsi="Times New Roman"/>
          <w:color w:val="000000"/>
          <w:sz w:val="20"/>
        </w:rPr>
        <w:t xml:space="preserve"> </w:t>
      </w:r>
      <w:r>
        <w:rPr>
          <w:rFonts w:ascii="Calibri;sans-serif" w:hAnsi="Calibri;sans-serif"/>
          <w:color w:val="000000"/>
          <w:sz w:val="20"/>
        </w:rPr>
        <w:t>trade accounts receivable, and other receivables.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routinely assesses the creditworthiness of its customers and does not require collateral. The Company generally has not experienced any material losses related to receivables from individual customers or groups of customers.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had no material losses related to marketplace receivables as it was dispersed across a large number of customers. The Company had no material losses related to wholesale and product receivables as the third-party transaction processor does not release the title to the vehicle until successfully collecting funds from the buying dealer. Titling is handled by the Company's third-party transaction processor and titles are held in escrow until it collects funds from the buying dealer (i.e., title is legally transferred from the selling party to the buying party upon signing of bill of sale, but title is held in escrow by the third-party transaction processor until payment is received). Due to these factors, no additional credit risk beyond amounts provided for collection losses was believed by management to be probable in the Company’s accounts receivable and other receivables.</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and December 31, 2023, no</w:t>
      </w:r>
      <w:r>
        <w:rPr>
          <w:rFonts w:ascii="Times New Roman" w:hAnsi="Times New Roman"/>
          <w:color w:val="000000"/>
          <w:sz w:val="20"/>
        </w:rPr>
        <w:t xml:space="preserve"> </w:t>
      </w:r>
      <w:r>
        <w:rPr>
          <w:rFonts w:ascii="Calibri;sans-serif" w:hAnsi="Calibri;sans-serif"/>
          <w:color w:val="000000"/>
          <w:sz w:val="20"/>
        </w:rPr>
        <w:t>customer accounted for more than 10% of net accounts receivable and other receivables. All of accounts receivable was dispersed among more than 1,000</w:t>
      </w:r>
      <w:r>
        <w:rPr>
          <w:rFonts w:ascii="Times New Roman" w:hAnsi="Times New Roman"/>
          <w:color w:val="000000"/>
          <w:sz w:val="20"/>
        </w:rPr>
        <w:t xml:space="preserve"> </w:t>
      </w:r>
      <w:r>
        <w:rPr>
          <w:rFonts w:ascii="Calibri;sans-serif" w:hAnsi="Calibri;sans-serif"/>
          <w:color w:val="000000"/>
          <w:sz w:val="20"/>
        </w:rPr>
        <w:t>customers. Therefore, there is no significant credit risk with respect to accounts receivable because credit risk is dispersed due to the large number of customers.</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and six months ended June 30, 2024 and 2023, no</w:t>
      </w:r>
      <w:r>
        <w:rPr>
          <w:rFonts w:ascii="Times New Roman" w:hAnsi="Times New Roman"/>
          <w:color w:val="000000"/>
          <w:sz w:val="20"/>
        </w:rPr>
        <w:t xml:space="preserve"> </w:t>
      </w:r>
      <w:r>
        <w:rPr>
          <w:rFonts w:ascii="Calibri;sans-serif" w:hAnsi="Calibri;sans-serif"/>
          <w:color w:val="000000"/>
          <w:sz w:val="20"/>
        </w:rPr>
        <w:t>customer accounted for more than 10% of total revenue.</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is exposed to credit losses primarily through its trade accounts receivable, which includes receivables in transit, net of payables due, from a third-party transaction processor. The third-party transaction processor collects customer payments on the Company's behalf and remits them to the Company. Customer payments received by the third-party transaction processor, but not remitted to the Company as of period end, are deemed to be receivables in transit, net of payables due. Additionally, the third-party transaction processor provides payments in advance for certain selling dealers. If the third-party transaction processor does not receive buying dealer payments associated with the transaction paid in advance, the Company would guarantee losses incurred by the third-party transaction processor and the balance would be deducted from future remittances to the Company. To date, losses associated with these guarantees have not been material.</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offsets trade accounts receivables in transit, net of payables due, from the third-party transaction processor with payments received in advance from the third-party transaction processor as it has the right of offset. At any point in time, the Company could have amounts due from the third-party transaction processor for funds the third-party transaction processor has collected from buying dealers and has not yet remitted to the Company (i.e., receivables in transit, net of payables due), as well as amounts paid by the third-party transaction processor to the Company in advance of collecting payments from buying dealers (i.e., payments received in advance). Therefore, as the Company has the right to offset, the Company can either have a net receivable balance due from the third-party transaction processor which is recognized within accounts receivable, net in the Unaudited Condensed Consolidated Balance Sheets, or the Company can have a net liability which is recognized within accrued expenses, accrued income taxes, and other current liabilities in the Unaudited Condensed Consolidated Balance Sheets if the advance payments exceed the receivable position from the third-party transaction processor as of the balance sheet date. The change in payments received in advance from the third-party transaction processor is presented as cash flows from financing activities in the Unaudited Condensed Consolidated Statements of Cash Flows.</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trade accounts receivable from receivables in transit, net of payables due, from the third-party transaction processor was $1,139, offset by payments received in advance of $1,935, which resulted in a net payable of $796</w:t>
      </w:r>
      <w:r>
        <w:rPr>
          <w:rFonts w:ascii="Times New Roman" w:hAnsi="Times New Roman"/>
          <w:color w:val="000000"/>
          <w:sz w:val="20"/>
        </w:rPr>
        <w:t xml:space="preserve"> </w:t>
      </w:r>
      <w:r>
        <w:rPr>
          <w:rFonts w:ascii="Calibri;sans-serif" w:hAnsi="Calibri;sans-serif"/>
          <w:color w:val="000000"/>
          <w:sz w:val="20"/>
        </w:rPr>
        <w:t>recognized within accrued expenses, accrued income taxes, and other current liabilities in the Unaudited Condensed Consolidated Balance Sheets. As of December 31, 2023, trade accounts receivable from receivables in transit, net of payables due, from the third-party transaction processor was $2,868, offset by payments received in advance of $2,015, which resulted in a net receivable of $853</w:t>
      </w:r>
      <w:r>
        <w:rPr>
          <w:rFonts w:ascii="Times New Roman" w:hAnsi="Times New Roman"/>
          <w:color w:val="000000"/>
          <w:sz w:val="20"/>
        </w:rPr>
        <w:t xml:space="preserve"> </w:t>
      </w:r>
      <w:r>
        <w:rPr>
          <w:rFonts w:ascii="Calibri;sans-serif" w:hAnsi="Calibri;sans-serif"/>
          <w:color w:val="000000"/>
          <w:sz w:val="20"/>
        </w:rPr>
        <w:t>recognized within accounts receivable, net in the consolidated balance sheets.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and December 31, 2023, $11,120</w:t>
      </w:r>
      <w:r>
        <w:rPr>
          <w:rFonts w:ascii="Times New Roman" w:hAnsi="Times New Roman"/>
          <w:color w:val="000000"/>
          <w:sz w:val="20"/>
        </w:rPr>
        <w:t xml:space="preserve"> </w:t>
      </w:r>
      <w:r>
        <w:rPr>
          <w:rFonts w:ascii="Calibri;sans-serif" w:hAnsi="Calibri;sans-serif"/>
          <w:color w:val="000000"/>
          <w:sz w:val="20"/>
        </w:rPr>
        <w:t xml:space="preserve">and $9,581, respectively, was included in net accounts receivable, representing unbilled accounts receivable relating primarily to both advertising customers and dealers invoiced in the period subsequent to services rendered and revenue recognition adjustments for Company offered discounts given to dealers in accordance with ASC Topic 606, </w:t>
      </w:r>
      <w:r>
        <w:rPr>
          <w:rFonts w:ascii="Calibri;sans-serif" w:hAnsi="Calibri;sans-serif"/>
          <w:i/>
          <w:color w:val="000000"/>
          <w:sz w:val="20"/>
        </w:rPr>
        <w:t xml:space="preserve">Revenue from Contracts with Customers </w:t>
      </w:r>
      <w:r>
        <w:rPr>
          <w:rFonts w:ascii="Calibri;sans-serif" w:hAnsi="Calibri;sans-serif"/>
          <w:color w:val="000000"/>
          <w:sz w:val="20"/>
        </w:rPr>
        <w:t>("ASC 606").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Significant Accounting Policies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Unaudited Condensed Consolidated Financial Statements reflect the application of certain significant accounting policies as described below and elsewhere in these notes to the Unaudited Condensed Consolidated Financial Statements. As of June 30, 2024, there have been no material changes in the Company’s significant accounting policies, which are detailed in the Annual Report.</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Recent Accounting Pronouncements Not Yet Adopted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 As of June 30, 2024, there are no new accounting pronouncements that the Company is considering adopting, other than those described below.</w:t>
      </w:r>
    </w:p>
    <w:p>
      <w:pPr>
        <w:pStyle w:val="TextBody"/>
        <w:bidi w:val="0"/>
        <w:spacing w:before="240" w:after="283"/>
        <w:jc w:val="both"/>
        <w:rPr>
          <w:rFonts w:ascii="Times New Roman" w:hAnsi="Times New Roman"/>
          <w:sz w:val="20"/>
        </w:rPr>
      </w:pPr>
      <w:r>
        <w:rPr>
          <w:rFonts w:ascii="Calibri;sans-serif" w:hAnsi="Calibri;sans-serif"/>
          <w:color w:val="000000"/>
          <w:sz w:val="20"/>
        </w:rPr>
        <w:t xml:space="preserve">In December 2023 the FASB issued ASU 2023-09, </w:t>
      </w:r>
      <w:r>
        <w:rPr>
          <w:rFonts w:ascii="Calibri;sans-serif" w:hAnsi="Calibri;sans-serif"/>
          <w:i/>
          <w:color w:val="000000"/>
          <w:sz w:val="20"/>
        </w:rPr>
        <w:t xml:space="preserve">Income Taxes (Topic 740): Improvements to Income Tax Disclosures </w:t>
      </w:r>
      <w:r>
        <w:rPr>
          <w:rFonts w:ascii="Calibri;sans-serif" w:hAnsi="Calibri;sans-serif"/>
          <w:color w:val="000000"/>
          <w:sz w:val="20"/>
        </w:rPr>
        <w:t>("ASU 2023-09")</w:t>
      </w:r>
      <w:r>
        <w:rPr>
          <w:rFonts w:ascii="Calibri;sans-serif" w:hAnsi="Calibri;sans-serif"/>
          <w:i/>
          <w:color w:val="000000"/>
          <w:sz w:val="20"/>
        </w:rPr>
        <w:t xml:space="preserve">. </w:t>
      </w:r>
      <w:r>
        <w:rPr>
          <w:rFonts w:ascii="Calibri;sans-serif" w:hAnsi="Calibri;sans-serif"/>
          <w:color w:val="1D1C1D"/>
          <w:sz w:val="20"/>
        </w:rPr>
        <w:t>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The Company is currently evaluating the impact of ASU 2023-09 on its future consolidated financial statements and related disclosures.</w:t>
      </w:r>
    </w:p>
    <w:p>
      <w:pPr>
        <w:pStyle w:val="TextBody"/>
        <w:bidi w:val="0"/>
        <w:spacing w:before="240" w:after="283"/>
        <w:jc w:val="both"/>
        <w:rPr>
          <w:rFonts w:ascii="Times New Roman" w:hAnsi="Times New Roman"/>
          <w:sz w:val="20"/>
        </w:rPr>
      </w:pPr>
      <w:r>
        <w:rPr>
          <w:rFonts w:ascii="Calibri;sans-serif" w:hAnsi="Calibri;sans-serif"/>
          <w:color w:val="000000"/>
          <w:sz w:val="20"/>
        </w:rPr>
        <w:t xml:space="preserve">In November 2023 the FASB issued ASU 2023-07, </w:t>
      </w:r>
      <w:r>
        <w:rPr>
          <w:rFonts w:ascii="Calibri;sans-serif" w:hAnsi="Calibri;sans-serif"/>
          <w:i/>
          <w:color w:val="000000"/>
          <w:sz w:val="20"/>
        </w:rPr>
        <w:t>Segment Reporting (Topic 280): Improvements to Reportable Segment Disclosures</w:t>
      </w:r>
      <w:r>
        <w:rPr>
          <w:rFonts w:ascii="Times New Roman" w:hAnsi="Times New Roman"/>
          <w:color w:val="000000"/>
          <w:sz w:val="20"/>
        </w:rPr>
        <w:t xml:space="preserve"> </w:t>
      </w:r>
      <w:r>
        <w:rPr>
          <w:rFonts w:ascii="Calibri;sans-serif" w:hAnsi="Calibri;sans-serif"/>
          <w:color w:val="000000"/>
          <w:sz w:val="20"/>
        </w:rPr>
        <w:t xml:space="preserve">("ASU 2023-07"). ASU 2023-07 is intended to enhance disclosures for significant segment expenses for all public entities required to report segment information in accordance with ASC Topic 280, </w:t>
      </w:r>
      <w:r>
        <w:rPr>
          <w:rFonts w:ascii="Calibri;sans-serif" w:hAnsi="Calibri;sans-serif"/>
          <w:i/>
          <w:color w:val="000000"/>
          <w:sz w:val="20"/>
        </w:rPr>
        <w:t>Segment Reporting</w:t>
      </w:r>
      <w:r>
        <w:rPr>
          <w:rFonts w:ascii="Times New Roman" w:hAnsi="Times New Roman"/>
          <w:color w:val="000000"/>
          <w:sz w:val="20"/>
        </w:rPr>
        <w:t xml:space="preserve"> </w:t>
      </w:r>
      <w:r>
        <w:rPr>
          <w:rFonts w:ascii="Calibri;sans-serif" w:hAnsi="Calibri;sans-serif"/>
          <w:color w:val="000000"/>
          <w:sz w:val="20"/>
        </w:rPr>
        <w:t xml:space="preserve">("ASC 280"). ASC 280 requires a public entity to report for each reportable segment a measure of segment profit or loss that its chief operating decision maker (“CODM”) uses to assess segment performance and to make decisions about resource allocations. ASU 2023-07 is intended to improve financial reporting by requiring disclosure of incremental segment information on an annual and interim basis for all public entities to enable investors to develop more useful financial analyses. ASU 2023-07 is effective for fiscal years beginning after December 15, 2023, and interim periods within fiscal years beginning after December 15, 2024. Early adoption is permitted. A public entity should apply ASU 2023-07 retrospectively to all prior periods presented in the consolidated financial statements. The Company is currently evaluating the impact of </w:t>
      </w:r>
      <w:r>
        <w:rPr>
          <w:rFonts w:ascii="Calibri;sans-serif" w:hAnsi="Calibri;sans-serif"/>
          <w:color w:val="1D1C1D"/>
          <w:sz w:val="20"/>
        </w:rPr>
        <w:t>ASU 2023-07</w:t>
      </w:r>
      <w:r>
        <w:rPr>
          <w:rFonts w:ascii="Times New Roman" w:hAnsi="Times New Roman"/>
          <w:color w:val="000000"/>
          <w:sz w:val="20"/>
        </w:rPr>
        <w:t xml:space="preserve"> </w:t>
      </w:r>
      <w:r>
        <w:rPr>
          <w:rFonts w:ascii="Calibri;sans-serif" w:hAnsi="Calibri;sans-serif"/>
          <w:color w:val="000000"/>
          <w:sz w:val="20"/>
        </w:rPr>
        <w:t>on its future consolidated financial statements and related disclosures.</w:t>
      </w:r>
    </w:p>
    <w:p>
      <w:pPr>
        <w:pStyle w:val="TextBody"/>
        <w:bidi w:val="0"/>
        <w:spacing w:before="240" w:after="283"/>
        <w:jc w:val="both"/>
        <w:rPr>
          <w:rFonts w:ascii="Times New Roman" w:hAnsi="Times New Roman"/>
          <w:sz w:val="20"/>
        </w:rPr>
      </w:pPr>
      <w:r>
        <w:rPr>
          <w:rFonts w:ascii="Calibri;sans-serif" w:hAnsi="Calibri;sans-serif"/>
          <w:color w:val="000000"/>
          <w:sz w:val="20"/>
        </w:rPr>
        <w:t>In October 2023 the FASB issued ASU 2023-06,</w:t>
      </w:r>
      <w:r>
        <w:rPr>
          <w:rFonts w:ascii="Times New Roman" w:hAnsi="Times New Roman"/>
          <w:color w:val="000000"/>
          <w:sz w:val="20"/>
        </w:rPr>
        <w:t xml:space="preserve"> </w:t>
      </w:r>
      <w:r>
        <w:rPr>
          <w:rFonts w:ascii="Calibri;sans-serif" w:hAnsi="Calibri;sans-serif"/>
          <w:i/>
          <w:color w:val="000000"/>
          <w:sz w:val="20"/>
        </w:rPr>
        <w:t>Disclosure Improvements – Codification Amendments in Response to the SEC's Disclosure Update and Simplification Initiative</w:t>
      </w:r>
      <w:r>
        <w:rPr>
          <w:rFonts w:ascii="Times New Roman" w:hAnsi="Times New Roman"/>
          <w:color w:val="000000"/>
          <w:sz w:val="20"/>
        </w:rPr>
        <w:t xml:space="preserve"> </w:t>
      </w:r>
      <w:r>
        <w:rPr>
          <w:rFonts w:ascii="Calibri;sans-serif" w:hAnsi="Calibri;sans-serif"/>
          <w:color w:val="000000"/>
          <w:sz w:val="20"/>
        </w:rPr>
        <w:t>("ASU 2023-06"). ASU 2023-06 modifies the disclosure and presentation requirements for a variety of topics in the ASC. The Company is currently evaluating the impact of ASU 2023-06 on its future consolidated financial statements and related disclosures.</w:t>
      </w:r>
    </w:p>
    <w:p>
      <w:pPr>
        <w:pStyle w:val="TextBody"/>
        <w:bidi w:val="0"/>
        <w:spacing w:before="240" w:after="283"/>
        <w:jc w:val="left"/>
        <w:rPr>
          <w:rFonts w:ascii="Calibri;sans-serif" w:hAnsi="Calibri;sans-serif"/>
          <w:b/>
          <w:color w:val="000000"/>
          <w:sz w:val="20"/>
        </w:rPr>
      </w:pPr>
      <w:r>
        <w:rPr>
          <w:rFonts w:ascii="Calibri;sans-serif" w:hAnsi="Calibri;sans-serif"/>
          <w:b/>
          <w:color w:val="000000"/>
          <w:sz w:val="20"/>
        </w:rPr>
        <w:t>3. Revenue Recognition</w:t>
      </w:r>
    </w:p>
    <w:p>
      <w:pPr>
        <w:pStyle w:val="TextBody"/>
        <w:bidi w:val="0"/>
        <w:jc w:val="both"/>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The following table summarizes revenue from contracts with customers by services and products for the three months ended June 30, 2024 and 2023 and for the six months ended June 30, 2024 and 2023:</w:t>
      </w:r>
    </w:p>
    <w:p>
      <w:pPr>
        <w:pStyle w:val="TextBody"/>
        <w:bidi w:val="0"/>
        <w:jc w:val="both"/>
        <w:rPr/>
      </w:pPr>
      <w:r>
        <w:rPr/>
        <w:t> </w:t>
      </w:r>
    </w:p>
    <w:tbl>
      <w:tblPr>
        <w:tblW w:w="8552" w:type="dxa"/>
        <w:jc w:val="left"/>
        <w:tblInd w:w="0" w:type="dxa"/>
        <w:tblLayout w:type="fixed"/>
        <w:tblCellMar>
          <w:top w:w="28" w:type="dxa"/>
          <w:left w:w="28" w:type="dxa"/>
          <w:bottom w:w="28" w:type="dxa"/>
          <w:right w:w="28" w:type="dxa"/>
        </w:tblCellMar>
      </w:tblPr>
      <w:tblGrid>
        <w:gridCol w:w="2971"/>
        <w:gridCol w:w="146"/>
        <w:gridCol w:w="211"/>
        <w:gridCol w:w="781"/>
        <w:gridCol w:w="146"/>
        <w:gridCol w:w="146"/>
        <w:gridCol w:w="211"/>
        <w:gridCol w:w="781"/>
        <w:gridCol w:w="146"/>
        <w:gridCol w:w="146"/>
        <w:gridCol w:w="211"/>
        <w:gridCol w:w="781"/>
        <w:gridCol w:w="146"/>
        <w:gridCol w:w="146"/>
        <w:gridCol w:w="211"/>
        <w:gridCol w:w="781"/>
        <w:gridCol w:w="5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195,167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382,386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338,077</w:t>
            </w:r>
          </w:p>
        </w:tc>
        <w:tc>
          <w:tcPr>
            <w:tcW w:w="5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Dealer-to-Dealer</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33,991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61,655</w:t>
            </w:r>
          </w:p>
        </w:tc>
        <w:tc>
          <w:tcPr>
            <w:tcW w:w="5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Sell My Car - Instant Max Cash Offer</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35,837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71,968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1"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471,700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provides disaggregation of revenue by services and products, by income statement presentation, by segment, and by geographic region.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by services and products is disaggregated by (i) marketplace services, (ii) Dealer-to-Dealer services and products, and (iii) Sell My Car - Instant Max Cash Offer ("IMCO") services and products as disclosed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by income statement presentation is disaggregated by (i) marketplace, (ii) wholesale, and (iii) product revenue sources as disclosed in the Unaudited Condensed Consolidated Income Statements. Marketplace services are included within marketplace revenue in the Unaudited Condensed Consolidated Income Statements. Dealer-to-Dealer and IMCO services and products are included within both wholesale revenue and product revenue in the Unaudited Condensed Consolidated Income Statements.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by segment is disaggregated by (i) U.S. Marketplace and (ii) Digital Wholesale segments as disclosed in Note 13 of the Unaudited Condensed Consolidated Financial Statements. Marketplace services are included in the U.S. Marketplace segment and in the Other category of segment reporting. Dealer-to-Dealer and IMCO services and products are included in the Digital Wholesale segment.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by geographic region is disaggregated by (i) U.S. and (ii) International regions as disclosed in Note 13 of the Unaudited Condensed Consolidated Financial Statements. Marketplace services are provided in the U.S. and International regions. Dealer-to-Dealer and IMCO services and products are provided in the U.S. region.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believes these categories best depict how the nature, amount, timing, and uncertainty of revenue and cash flows are affected by economic factors.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ASC 606 requires that the Company disclose the aggregate amount of transaction price that is allocated to performance obligations that have not yet been satisfied as of the relevant quarter end.</w:t>
      </w:r>
    </w:p>
    <w:p>
      <w:pPr>
        <w:pStyle w:val="TextBody"/>
        <w:bidi w:val="0"/>
        <w:spacing w:before="240" w:after="283"/>
        <w:jc w:val="both"/>
        <w:rPr>
          <w:rFonts w:ascii="Times New Roman" w:hAnsi="Times New Roman"/>
          <w:sz w:val="20"/>
        </w:rPr>
      </w:pPr>
      <w:r>
        <w:rPr>
          <w:rFonts w:ascii="Calibri;sans-serif" w:hAnsi="Calibri;sans-serif"/>
          <w:color w:val="000000"/>
          <w:sz w:val="20"/>
        </w:rPr>
        <w:t>For contracts with an original expected duration greater than one year, the aggregate amount of the transaction price allocated to the performance obligations that were unsatisfied as of June 30, 2024, was approximately $55.7</w:t>
      </w:r>
      <w:r>
        <w:rPr>
          <w:rFonts w:ascii="Times New Roman" w:hAnsi="Times New Roman"/>
          <w:color w:val="000000"/>
          <w:sz w:val="20"/>
        </w:rPr>
        <w:t xml:space="preserve"> </w:t>
      </w:r>
      <w:r>
        <w:rPr>
          <w:rFonts w:ascii="Calibri;sans-serif" w:hAnsi="Calibri;sans-serif"/>
          <w:color w:val="000000"/>
          <w:sz w:val="20"/>
        </w:rPr>
        <w:t>million, which the Company expects to recognize over the next twelve months.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contracts with an original expected duration of one year or less, the Company has applied the practical expedient available under ASC 606 to not disclose the amount of transaction price allocated to unsatisfied performance obligations as of June 30, 2024. For performance obligations not satisfied as of June 30, 2024, and to which this expedient applies, the nature of the performance obligations, the variable consideration, and any consideration from contracts with customers not included in the transaction price is consistent with performance obligations satisfied as of June 30, 2024.</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2024 and 2023, revenue recognized from amounts included in deferred revenue at the beginning of the period was $21,432</w:t>
      </w:r>
      <w:r>
        <w:rPr>
          <w:rFonts w:ascii="Times New Roman" w:hAnsi="Times New Roman"/>
          <w:color w:val="000000"/>
          <w:sz w:val="20"/>
        </w:rPr>
        <w:t xml:space="preserve"> </w:t>
      </w:r>
      <w:r>
        <w:rPr>
          <w:rFonts w:ascii="Calibri;sans-serif" w:hAnsi="Calibri;sans-serif"/>
          <w:color w:val="000000"/>
          <w:sz w:val="20"/>
        </w:rPr>
        <w:t>and $20,808, respectively. For the six months ended June 30, 2024 and 2023, revenue recognized from amounts included in deferred revenue at the beginning of the period was $21,322</w:t>
      </w:r>
      <w:r>
        <w:rPr>
          <w:rFonts w:ascii="Times New Roman" w:hAnsi="Times New Roman"/>
          <w:color w:val="000000"/>
          <w:sz w:val="20"/>
        </w:rPr>
        <w:t xml:space="preserve"> </w:t>
      </w:r>
      <w:r>
        <w:rPr>
          <w:rFonts w:ascii="Calibri;sans-serif" w:hAnsi="Calibri;sans-serif"/>
          <w:color w:val="000000"/>
          <w:sz w:val="20"/>
        </w:rPr>
        <w:t>and $12,249, respectively.</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4. Fair Value of Financial Instruments</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As of June 30, 2024 and December 31, 2023, assets measured at fair value on a recurring basis consist of the following:</w:t>
      </w:r>
    </w:p>
    <w:p>
      <w:pPr>
        <w:pStyle w:val="TextBody"/>
        <w:bidi w:val="0"/>
        <w:jc w:val="left"/>
        <w:rPr/>
      </w:pPr>
      <w:r>
        <w:rPr/>
        <w:t> </w:t>
      </w:r>
    </w:p>
    <w:tbl>
      <w:tblPr>
        <w:tblW w:w="8061" w:type="dxa"/>
        <w:jc w:val="left"/>
        <w:tblInd w:w="0" w:type="dxa"/>
        <w:tblLayout w:type="fixed"/>
        <w:tblCellMar>
          <w:top w:w="28" w:type="dxa"/>
          <w:left w:w="28" w:type="dxa"/>
          <w:bottom w:w="28" w:type="dxa"/>
          <w:right w:w="28" w:type="dxa"/>
        </w:tblCellMar>
      </w:tblPr>
      <w:tblGrid>
        <w:gridCol w:w="1486"/>
        <w:gridCol w:w="146"/>
        <w:gridCol w:w="332"/>
        <w:gridCol w:w="1063"/>
        <w:gridCol w:w="146"/>
        <w:gridCol w:w="146"/>
        <w:gridCol w:w="510"/>
        <w:gridCol w:w="840"/>
        <w:gridCol w:w="146"/>
        <w:gridCol w:w="146"/>
        <w:gridCol w:w="578"/>
        <w:gridCol w:w="952"/>
        <w:gridCol w:w="146"/>
        <w:gridCol w:w="146"/>
        <w:gridCol w:w="211"/>
        <w:gridCol w:w="676"/>
        <w:gridCol w:w="3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4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96,449</w:t>
            </w:r>
          </w:p>
        </w:tc>
        <w:tc>
          <w:tcPr>
            <w:tcW w:w="391" w:type="dxa"/>
            <w:tcBorders/>
            <w:shd w:fill="FFFFFF" w:val="cle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96,449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96,449</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601" w:type="dxa"/>
        <w:jc w:val="left"/>
        <w:tblInd w:w="0" w:type="dxa"/>
        <w:tblLayout w:type="fixed"/>
        <w:tblCellMar>
          <w:top w:w="28" w:type="dxa"/>
          <w:left w:w="28" w:type="dxa"/>
          <w:bottom w:w="28" w:type="dxa"/>
          <w:right w:w="28" w:type="dxa"/>
        </w:tblCellMar>
      </w:tblPr>
      <w:tblGrid>
        <w:gridCol w:w="2026"/>
        <w:gridCol w:w="146"/>
        <w:gridCol w:w="332"/>
        <w:gridCol w:w="1063"/>
        <w:gridCol w:w="146"/>
        <w:gridCol w:w="146"/>
        <w:gridCol w:w="510"/>
        <w:gridCol w:w="840"/>
        <w:gridCol w:w="146"/>
        <w:gridCol w:w="146"/>
        <w:gridCol w:w="578"/>
        <w:gridCol w:w="952"/>
        <w:gridCol w:w="146"/>
        <w:gridCol w:w="146"/>
        <w:gridCol w:w="211"/>
        <w:gridCol w:w="676"/>
        <w:gridCol w:w="3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6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73,449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73,449</w:t>
            </w:r>
          </w:p>
        </w:tc>
        <w:tc>
          <w:tcPr>
            <w:tcW w:w="391" w:type="dxa"/>
            <w:tcBorders/>
            <w:shd w:fill="FFFFFF" w:val="cle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39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Mutual funds</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20,724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94,173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Calibri;sans-serif" w:hAnsi="Calibri;sans-serif"/>
          <w:color w:val="000000"/>
          <w:sz w:val="20"/>
        </w:rPr>
        <w:t>For the three months ended June 30, 2024, there was no</w:t>
      </w:r>
      <w:r>
        <w:rPr>
          <w:rFonts w:ascii="Times New Roman" w:hAnsi="Times New Roman"/>
          <w:color w:val="000000"/>
          <w:sz w:val="20"/>
        </w:rPr>
        <w:t xml:space="preserve"> </w:t>
      </w:r>
      <w:r>
        <w:rPr>
          <w:rFonts w:ascii="Calibri;sans-serif" w:hAnsi="Calibri;sans-serif"/>
          <w:color w:val="000000"/>
          <w:sz w:val="20"/>
        </w:rPr>
        <w:t>dividend income recognized within interest income in the Unaudited Condensed Consolidated Income Statements. For the three months ended June 30, 2023 and for the six months ended June 30, 2024 and 2023, dividend income recognized within interest income in the Unaudited Condensed Consolidated Income Statement was immaterial.</w:t>
      </w:r>
    </w:p>
    <w:p>
      <w:pPr>
        <w:pStyle w:val="TextBody"/>
        <w:bidi w:val="0"/>
        <w:spacing w:before="240" w:after="283"/>
        <w:jc w:val="left"/>
        <w:rPr>
          <w:rFonts w:ascii="Times New Roman" w:hAnsi="Times New Roman"/>
          <w:sz w:val="20"/>
        </w:rPr>
      </w:pPr>
      <w:r>
        <w:rPr>
          <w:rFonts w:ascii="Calibri;sans-serif" w:hAnsi="Calibri;sans-serif"/>
          <w:color w:val="000000"/>
          <w:sz w:val="20"/>
        </w:rPr>
        <w:t>For the three months ended June 30, 2024, there was no</w:t>
      </w:r>
      <w:r>
        <w:rPr>
          <w:rFonts w:ascii="Times New Roman" w:hAnsi="Times New Roman"/>
          <w:color w:val="000000"/>
          <w:sz w:val="20"/>
        </w:rPr>
        <w:t xml:space="preserve"> </w:t>
      </w:r>
      <w:r>
        <w:rPr>
          <w:rFonts w:ascii="Calibri;sans-serif" w:hAnsi="Calibri;sans-serif"/>
          <w:color w:val="000000"/>
          <w:sz w:val="20"/>
        </w:rPr>
        <w:t>unrealized and realized gain on short-term investments. For the three months ended June 30, 2023 and for the six months ended June 30, 2024 and 2023, unrealized and realized gain on short-term investments in equity securities was immaterial.</w:t>
      </w:r>
    </w:p>
    <w:p>
      <w:pPr>
        <w:pStyle w:val="TextBody"/>
        <w:bidi w:val="0"/>
        <w:spacing w:before="240" w:after="283"/>
        <w:jc w:val="left"/>
        <w:rPr>
          <w:rFonts w:ascii="Times New Roman" w:hAnsi="Times New Roman"/>
          <w:sz w:val="20"/>
        </w:rPr>
      </w:pPr>
      <w:r>
        <w:rPr>
          <w:rFonts w:ascii="Calibri;sans-serif" w:hAnsi="Calibri;sans-serif"/>
          <w:color w:val="000000"/>
          <w:sz w:val="20"/>
        </w:rPr>
        <w:t>As of June 30, 2024, the Company did not have any short-term investments as all were sold during the</w:t>
      </w:r>
      <w:r>
        <w:rPr>
          <w:rFonts w:ascii="Times New Roman" w:hAnsi="Times New Roman"/>
          <w:color w:val="000000"/>
          <w:sz w:val="20"/>
        </w:rPr>
        <w:t xml:space="preserve"> </w:t>
      </w:r>
      <w:r>
        <w:rPr>
          <w:rFonts w:ascii="Calibri;sans-serif" w:hAnsi="Calibri;sans-serif"/>
          <w:color w:val="000000"/>
          <w:sz w:val="20"/>
        </w:rPr>
        <w:t>six months ended June 30, 2024.</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5. Property and Equipment, Net</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and December 31, 2023, property and equipment, net consist of the following:</w:t>
      </w:r>
      <w:r>
        <w:rPr>
          <w:rFonts w:ascii="Times New Roman" w:hAnsi="Times New Roman"/>
          <w:color w:val="000000"/>
          <w:sz w:val="20"/>
        </w:rPr>
        <w:t xml:space="preserve"> </w:t>
      </w:r>
    </w:p>
    <w:p>
      <w:pPr>
        <w:pStyle w:val="TextBody"/>
        <w:bidi w:val="0"/>
        <w:jc w:val="both"/>
        <w:rPr/>
      </w:pPr>
      <w:r>
        <w:rPr/>
        <w:t> </w:t>
      </w:r>
    </w:p>
    <w:tbl>
      <w:tblPr>
        <w:tblW w:w="6857" w:type="dxa"/>
        <w:jc w:val="left"/>
        <w:tblInd w:w="0" w:type="dxa"/>
        <w:tblLayout w:type="fixed"/>
        <w:tblCellMar>
          <w:top w:w="28" w:type="dxa"/>
          <w:left w:w="28" w:type="dxa"/>
          <w:bottom w:w="28" w:type="dxa"/>
          <w:right w:w="28" w:type="dxa"/>
        </w:tblCellMar>
      </w:tblPr>
      <w:tblGrid>
        <w:gridCol w:w="3901"/>
        <w:gridCol w:w="146"/>
        <w:gridCol w:w="211"/>
        <w:gridCol w:w="781"/>
        <w:gridCol w:w="166"/>
        <w:gridCol w:w="146"/>
        <w:gridCol w:w="233"/>
        <w:gridCol w:w="862"/>
        <w:gridCol w:w="4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Capitalized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1,326</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Capitalized internal-use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16,282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12,279</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Capitalized website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70,477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57,158</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8,149</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23,308</w:t>
            </w:r>
          </w:p>
        </w:tc>
        <w:tc>
          <w:tcPr>
            <w:tcW w:w="411"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Construction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79,334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39,835</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Finance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192,363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142,343</w:t>
            </w:r>
          </w:p>
        </w:tc>
        <w:tc>
          <w:tcPr>
            <w:tcW w:w="411" w:type="dxa"/>
            <w:tcBorders/>
            <w:shd w:fill="FFFFFF" w:val="clear"/>
            <w:vAlign w:val="center"/>
          </w:tcPr>
          <w:p>
            <w:pPr>
              <w:pStyle w:val="TableContents"/>
              <w:bidi w:val="0"/>
              <w:spacing w:before="0" w:after="283"/>
              <w:jc w:val="left"/>
              <w:rPr/>
            </w:pPr>
            <w:r>
              <w:rPr/>
              <w:t> </w:t>
            </w:r>
          </w:p>
        </w:tc>
      </w:tr>
      <w:tr>
        <w:trPr/>
        <w:tc>
          <w:tcPr>
            <w:tcW w:w="39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(58,973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9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83,370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depreciation and amortization expense, excluding amortization of intangible assets, amortization of capitalized hosting arrangements, and impairments, was $4,906, $4,160, $10,505, and $8,202, respectively.</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and six months ended June 30, 2024, the Company impaired $180</w:t>
      </w:r>
      <w:r>
        <w:rPr>
          <w:rFonts w:ascii="Times New Roman" w:hAnsi="Times New Roman"/>
          <w:color w:val="000000"/>
          <w:sz w:val="20"/>
        </w:rPr>
        <w:t xml:space="preserve"> </w:t>
      </w:r>
      <w:r>
        <w:rPr>
          <w:rFonts w:ascii="Calibri;sans-serif" w:hAnsi="Calibri;sans-serif"/>
          <w:color w:val="000000"/>
          <w:sz w:val="20"/>
        </w:rPr>
        <w:t>of Digital Wholesale segment capitalized website development costs within wholesale cost of revenue in the Unaudited Condensed Consolidated Income Statements related to certain developed technology that the Company decided to cease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2023, the Company impaired $9</w:t>
      </w:r>
      <w:r>
        <w:rPr>
          <w:rFonts w:ascii="Times New Roman" w:hAnsi="Times New Roman"/>
          <w:color w:val="000000"/>
          <w:sz w:val="20"/>
        </w:rPr>
        <w:t xml:space="preserve"> </w:t>
      </w:r>
      <w:r>
        <w:rPr>
          <w:rFonts w:ascii="Calibri;sans-serif" w:hAnsi="Calibri;sans-serif"/>
          <w:color w:val="000000"/>
          <w:sz w:val="20"/>
        </w:rPr>
        <w:t>of U.S. Marketplace segment capitalized website development costs within marketplace cost of revenue in the Unaudited Condensed Consolidated Income Statements related to certain developed technology that the Company decided to cease investment. For the six months ended June 30, 2023, the Company impaired $184</w:t>
      </w:r>
      <w:r>
        <w:rPr>
          <w:rFonts w:ascii="Times New Roman" w:hAnsi="Times New Roman"/>
          <w:color w:val="000000"/>
          <w:sz w:val="20"/>
        </w:rPr>
        <w:t xml:space="preserve"> </w:t>
      </w:r>
      <w:r>
        <w:rPr>
          <w:rFonts w:ascii="Calibri;sans-serif" w:hAnsi="Calibri;sans-serif"/>
          <w:color w:val="000000"/>
          <w:sz w:val="20"/>
        </w:rPr>
        <w:t>of Digital Wholesale and U.S. Marketplace capitalized website development costs within wholesale and marketplace cost of revenue, respectively, in the Unaudited Condensed Consolidated Income Statements related to certain developed technology that the Company decided to cease investment.</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six months ended June 30, 2024, capitalized internal-use software costs increased $4,003</w:t>
      </w:r>
      <w:r>
        <w:rPr>
          <w:rFonts w:ascii="Times New Roman" w:hAnsi="Times New Roman"/>
          <w:color w:val="000000"/>
          <w:sz w:val="20"/>
        </w:rPr>
        <w:t xml:space="preserve"> </w:t>
      </w:r>
      <w:r>
        <w:rPr>
          <w:rFonts w:ascii="Calibri;sans-serif" w:hAnsi="Calibri;sans-serif"/>
          <w:color w:val="000000"/>
          <w:sz w:val="20"/>
        </w:rPr>
        <w:t>due primarily to continued net investment in the Company's software projects.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six months ended June 30, 2024, capitalized website development costs increased $13,319</w:t>
      </w:r>
      <w:r>
        <w:rPr>
          <w:rFonts w:ascii="Times New Roman" w:hAnsi="Times New Roman"/>
          <w:color w:val="000000"/>
          <w:sz w:val="20"/>
        </w:rPr>
        <w:t xml:space="preserve"> </w:t>
      </w:r>
      <w:r>
        <w:rPr>
          <w:rFonts w:ascii="Calibri;sans-serif" w:hAnsi="Calibri;sans-serif"/>
          <w:color w:val="000000"/>
          <w:sz w:val="20"/>
        </w:rPr>
        <w:t>due primarily to continued net investment in the Company's product offerings.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six months ended June 30, 2024, leasehold improvements costs decreased $4,389</w:t>
      </w:r>
      <w:r>
        <w:rPr>
          <w:rFonts w:ascii="Times New Roman" w:hAnsi="Times New Roman"/>
          <w:color w:val="000000"/>
          <w:sz w:val="20"/>
        </w:rPr>
        <w:t xml:space="preserve"> </w:t>
      </w:r>
      <w:r>
        <w:rPr>
          <w:rFonts w:ascii="Calibri;sans-serif" w:hAnsi="Calibri;sans-serif"/>
          <w:color w:val="000000"/>
          <w:sz w:val="20"/>
        </w:rPr>
        <w:t>due primarily to disposals of fully depreciated assets related to the expiration of the lease of office space at 2 Canal Park.</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six months ended June 30, 2024, construction in progress costs increased $39,499</w:t>
      </w:r>
      <w:r>
        <w:rPr>
          <w:rFonts w:ascii="Times New Roman" w:hAnsi="Times New Roman"/>
          <w:color w:val="000000"/>
          <w:sz w:val="20"/>
        </w:rPr>
        <w:t xml:space="preserve"> </w:t>
      </w:r>
      <w:r>
        <w:rPr>
          <w:rFonts w:ascii="Calibri;sans-serif" w:hAnsi="Calibri;sans-serif"/>
          <w:color w:val="000000"/>
          <w:sz w:val="20"/>
        </w:rPr>
        <w:t>due to the buildout of the Company's future headquarters located at 1001 Boylston Street.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6. Goodwill and Other Long-Lived Asset Impairment</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Background</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2024, the Company identified a triggering event for goodwill and other long-lived assets impairment testing purposes at the CarOffer reporting unit due to recent organizational changes and Transaction volume declines, which resulted in revisions to the Company’s financial projections for the CarOffer reporting unit. Prior to testing the goodwill and other long-lived assets included in the CarOffer reporting unit for impairment, the Company first evaluated current assets, inclusive of the cash and cash-equivalents, accounts receivable, inventory, prepaid expenses, and other current assets allocated to the CarOffer reporting unit, under applicable guidance and identified no impairment.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 xml:space="preserve">The Company then evaluated other long-lived assets included in the CarOffer reporting unit under ASC 360, </w:t>
      </w:r>
      <w:r>
        <w:rPr>
          <w:rFonts w:ascii="Calibri;sans-serif" w:hAnsi="Calibri;sans-serif"/>
          <w:i/>
          <w:color w:val="000000"/>
          <w:sz w:val="20"/>
        </w:rPr>
        <w:t>Property, Plant, and Equipment</w:t>
      </w:r>
      <w:r>
        <w:rPr>
          <w:rFonts w:ascii="Times New Roman" w:hAnsi="Times New Roman"/>
          <w:color w:val="000000"/>
          <w:sz w:val="20"/>
        </w:rPr>
        <w:t xml:space="preserve"> </w:t>
      </w:r>
      <w:r>
        <w:rPr>
          <w:rFonts w:ascii="Calibri;sans-serif" w:hAnsi="Calibri;sans-serif"/>
          <w:color w:val="000000"/>
          <w:sz w:val="20"/>
        </w:rPr>
        <w:t>(“ASC 360”). Other long-lived assets are tested for impairment at the asset group level, and the Company identified the asset group as the entire CarOffer reporting unit, which represents the lowest level for which identifiable cash flows are largely independent of the cash flows of other groups of assets and liabilities. As the CarOffer asset group did not pass the step one recoverability test on an undiscounted cash flow basis, the Company then compared the fair value of the asset group to its carrying value. To estimate the fair value of the asset group, the Company utilized an income-based valuation approach by means of a discounted cash flow method, based on market participant assumptions. The assumptions used to estimate the fair value using a discounted cash flow method included forecasted revenue and EBITDA, long term expectations for growth rates and operating profit margin, expected needs for annual capital expenditure and net working capital, and a market-participant discount rate derived via the capital asset pricing model. The excess of the carrying value of the asset group over the fair value was first allocated amongst the long-lived asset group (excluding goodwill), noting each individual long-lived asset within the group may not be impaired below its individual fair value.</w:t>
      </w:r>
    </w:p>
    <w:p>
      <w:pPr>
        <w:pStyle w:val="TextBody"/>
        <w:bidi w:val="0"/>
        <w:spacing w:before="240" w:after="283"/>
        <w:jc w:val="both"/>
        <w:rPr>
          <w:rFonts w:ascii="Times New Roman" w:hAnsi="Times New Roman"/>
          <w:sz w:val="20"/>
        </w:rPr>
      </w:pPr>
      <w:r>
        <w:rPr>
          <w:rFonts w:ascii="Calibri;sans-serif" w:hAnsi="Calibri;sans-serif"/>
          <w:color w:val="000000"/>
          <w:sz w:val="20"/>
        </w:rPr>
        <w:t>As discussed below, the Company recognized impairments of CarOffer lease right-of-use assets of $4,731</w:t>
      </w:r>
      <w:r>
        <w:rPr>
          <w:rFonts w:ascii="Times New Roman" w:hAnsi="Times New Roman"/>
          <w:color w:val="000000"/>
          <w:sz w:val="20"/>
        </w:rPr>
        <w:t xml:space="preserve"> </w:t>
      </w:r>
      <w:r>
        <w:rPr>
          <w:rFonts w:ascii="Calibri;sans-serif" w:hAnsi="Calibri;sans-serif"/>
          <w:color w:val="000000"/>
          <w:sz w:val="20"/>
        </w:rPr>
        <w:t>and the CarOffer brand intangible asset of $7,538</w:t>
      </w:r>
      <w:r>
        <w:rPr>
          <w:rFonts w:ascii="Times New Roman" w:hAnsi="Times New Roman"/>
          <w:color w:val="000000"/>
          <w:sz w:val="20"/>
        </w:rPr>
        <w:t xml:space="preserve"> </w:t>
      </w:r>
      <w:r>
        <w:rPr>
          <w:rFonts w:ascii="Calibri;sans-serif" w:hAnsi="Calibri;sans-serif"/>
          <w:color w:val="000000"/>
          <w:sz w:val="20"/>
        </w:rPr>
        <w:t>to bring the long-lived assets’ carrying value to fair value. All other long-lived assets’ carrying value were at or below fair value. Subsequent to performing the impairment assessment of its long-lived assets, the Company then assessed goodwill included in the CarOffer reporting unit, resulting in an impairment charge of $115,206, inclusive of the deferred tax impact of $28,437</w:t>
      </w:r>
      <w:r>
        <w:rPr>
          <w:rFonts w:ascii="Times New Roman" w:hAnsi="Times New Roman"/>
          <w:color w:val="000000"/>
          <w:sz w:val="20"/>
        </w:rPr>
        <w:t xml:space="preserve"> </w:t>
      </w:r>
      <w:r>
        <w:rPr>
          <w:rFonts w:ascii="Calibri;sans-serif" w:hAnsi="Calibri;sans-serif"/>
          <w:color w:val="000000"/>
          <w:sz w:val="20"/>
        </w:rPr>
        <w:t>due to the goodwill being tax deductible. Refer below for further details of each impairment charge.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Right of Use Asset</w:t>
      </w:r>
    </w:p>
    <w:p>
      <w:pPr>
        <w:pStyle w:val="TextBody"/>
        <w:bidi w:val="0"/>
        <w:spacing w:before="240" w:after="283"/>
        <w:jc w:val="both"/>
        <w:rPr>
          <w:rFonts w:ascii="Times New Roman" w:hAnsi="Times New Roman"/>
          <w:sz w:val="20"/>
        </w:rPr>
      </w:pPr>
      <w:r>
        <w:rPr>
          <w:rFonts w:ascii="Calibri;sans-serif" w:hAnsi="Calibri;sans-serif"/>
          <w:color w:val="000000"/>
          <w:sz w:val="20"/>
        </w:rPr>
        <w:t>In connection with the triggering event discussed above, the Company assessed the right-of-use assets associated with CarOffer's Addison, Texas lease for impairment.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noted above, the carrying value of the CarOffer asset group was determined to not be recoverable. As such, the Company evaluated the fair value of the CarOffer asset group as of June 30, 2024, using a discounted cash flow method that incorporated market participant assumptions. The resulting impairment loss was then allocated to each of the long-lived assets in the asset group, including the CarOffer right-of-use assets. This fair value measurement is categorized as Level 3 within the fair value included hierarchy as there are significant unobservable inputs utilized in the valuation technique, including the selected market rental rates based upon similar office spaces, the discount rate, and other estimated replacement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 non-cash impairment charge of $4,731</w:t>
      </w:r>
      <w:r>
        <w:rPr>
          <w:rFonts w:ascii="Times New Roman" w:hAnsi="Times New Roman"/>
          <w:color w:val="000000"/>
          <w:sz w:val="20"/>
        </w:rPr>
        <w:t xml:space="preserve"> </w:t>
      </w:r>
      <w:r>
        <w:rPr>
          <w:rFonts w:ascii="Calibri;sans-serif" w:hAnsi="Calibri;sans-serif"/>
          <w:color w:val="000000"/>
          <w:sz w:val="20"/>
        </w:rPr>
        <w:t>was allocated to the right-of-use assets in the CarOffer asset group, which was recognized within operating expenses in the Unaudited Condensed Consolidated Income Statements in the Digital Wholesale segment.</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Other Intangible Assets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 connection with the triggering event discussed above, the Company recognized an impairment to its brand intangible assets included within the CarOffer asset group as of June 30, 2024 to reduce the carrying value of the brand intangible asset to its fair value. This fair value measurement is categorized as Level 3 within the fair value hierarchy as there are significant unobservable inputs utilized in the valuation technique. The Company estimated fair value using market participant assumptions and the relief from royalty method, with key inputs including forecasted revenue, royalty rate, discount rate, and the useful life.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 non-cash impairment charge of $7,538</w:t>
      </w:r>
      <w:r>
        <w:rPr>
          <w:rFonts w:ascii="Times New Roman" w:hAnsi="Times New Roman"/>
          <w:color w:val="000000"/>
          <w:sz w:val="20"/>
        </w:rPr>
        <w:t xml:space="preserve"> </w:t>
      </w:r>
      <w:r>
        <w:rPr>
          <w:rFonts w:ascii="Calibri;sans-serif" w:hAnsi="Calibri;sans-serif"/>
          <w:color w:val="000000"/>
          <w:sz w:val="20"/>
        </w:rPr>
        <w:t>was allocated to the brand intangible asset for the CarOffer asset group, which was recognized within operating expenses in the Unaudited Condensed Consolidated Income Statements in the Digital Wholesale segment.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and December 31, 2023, intangible assets consist of the following:</w:t>
      </w:r>
    </w:p>
    <w:p>
      <w:pPr>
        <w:pStyle w:val="TextBody"/>
        <w:bidi w:val="0"/>
        <w:jc w:val="both"/>
        <w:rPr/>
      </w:pPr>
      <w:r>
        <w:rPr/>
        <w:t> </w:t>
      </w:r>
    </w:p>
    <w:tbl>
      <w:tblPr>
        <w:tblW w:w="9375" w:type="dxa"/>
        <w:jc w:val="left"/>
        <w:tblInd w:w="0" w:type="dxa"/>
        <w:tblLayout w:type="fixed"/>
        <w:tblCellMar>
          <w:top w:w="28" w:type="dxa"/>
          <w:left w:w="28" w:type="dxa"/>
          <w:bottom w:w="28" w:type="dxa"/>
          <w:right w:w="28" w:type="dxa"/>
        </w:tblCellMar>
      </w:tblPr>
      <w:tblGrid>
        <w:gridCol w:w="1951"/>
        <w:gridCol w:w="146"/>
        <w:gridCol w:w="242"/>
        <w:gridCol w:w="599"/>
        <w:gridCol w:w="146"/>
        <w:gridCol w:w="146"/>
        <w:gridCol w:w="211"/>
        <w:gridCol w:w="781"/>
        <w:gridCol w:w="146"/>
        <w:gridCol w:w="146"/>
        <w:gridCol w:w="246"/>
        <w:gridCol w:w="790"/>
        <w:gridCol w:w="146"/>
        <w:gridCol w:w="146"/>
        <w:gridCol w:w="509"/>
        <w:gridCol w:w="1381"/>
        <w:gridCol w:w="146"/>
        <w:gridCol w:w="146"/>
        <w:gridCol w:w="228"/>
        <w:gridCol w:w="732"/>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8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 Impairment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Brand</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3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12,824</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9"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Developed technology</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96,211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8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Weighted</w:t>
              <w:br/>
              <w:t>Average</w:t>
              <w:br/>
              <w:t>Remaining</w:t>
              <w:br/>
              <w:t>Useful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Accumulated Impairment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Brand</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21,931</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Customer relationships</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9"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250</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Developed technology</w:t>
            </w:r>
          </w:p>
        </w:tc>
        <w:tc>
          <w:tcPr>
            <w:tcW w:w="146" w:type="dxa"/>
            <w:tcBorders/>
            <w:shd w:fill="CFF0FC" w:val="clear"/>
            <w:vAlign w:val="center"/>
          </w:tcPr>
          <w:p>
            <w:pPr>
              <w:pStyle w:val="TableContents"/>
              <w:bidi w:val="0"/>
              <w:spacing w:before="0" w:after="283"/>
              <w:jc w:val="right"/>
              <w:rPr/>
            </w:pPr>
            <w:r>
              <w:rPr/>
              <w:t> </w:t>
            </w:r>
          </w:p>
        </w:tc>
        <w:tc>
          <w:tcPr>
            <w:tcW w:w="841" w:type="dxa"/>
            <w:gridSpan w:val="2"/>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23,056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amortization of intangible assets was $757, $7,507, $2,639, and $15,041, respectively.</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and the six months ended June 30, 2024, the Company wrote off $7,538</w:t>
      </w:r>
      <w:r>
        <w:rPr>
          <w:rFonts w:ascii="Times New Roman" w:hAnsi="Times New Roman"/>
          <w:color w:val="000000"/>
          <w:sz w:val="20"/>
        </w:rPr>
        <w:t xml:space="preserve"> </w:t>
      </w:r>
      <w:r>
        <w:rPr>
          <w:rFonts w:ascii="Calibri;sans-serif" w:hAnsi="Calibri;sans-serif"/>
          <w:color w:val="000000"/>
          <w:sz w:val="20"/>
        </w:rPr>
        <w:t>of Digital Wholesale segment intangible assets within operating expenses in the Unaudited Condensed Consolidated Income Statements related to the impairment discussed above.</w:t>
      </w:r>
    </w:p>
    <w:p>
      <w:pPr>
        <w:pStyle w:val="TextBody"/>
        <w:bidi w:val="0"/>
        <w:jc w:val="both"/>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As of June 30, 2024, estimated amortization expense of intangible assets for future periods is as follows:</w:t>
      </w:r>
    </w:p>
    <w:p>
      <w:pPr>
        <w:pStyle w:val="TextBody"/>
        <w:bidi w:val="0"/>
        <w:jc w:val="both"/>
        <w:rPr/>
      </w:pPr>
      <w:r>
        <w:rPr/>
        <w:t> </w:t>
      </w:r>
    </w:p>
    <w:tbl>
      <w:tblPr>
        <w:tblW w:w="3479" w:type="dxa"/>
        <w:jc w:val="left"/>
        <w:tblInd w:w="0" w:type="dxa"/>
        <w:tblLayout w:type="fixed"/>
        <w:tblCellMar>
          <w:top w:w="28" w:type="dxa"/>
          <w:left w:w="28" w:type="dxa"/>
          <w:bottom w:w="28" w:type="dxa"/>
          <w:right w:w="28" w:type="dxa"/>
        </w:tblCellMar>
      </w:tblPr>
      <w:tblGrid>
        <w:gridCol w:w="1951"/>
        <w:gridCol w:w="146"/>
        <w:gridCol w:w="235"/>
        <w:gridCol w:w="756"/>
        <w:gridCol w:w="3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Amortization</w:t>
              <w:br/>
              <w:t>Expense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Remainder of 2024</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1,014</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2,028</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2,028</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2,028</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2,028</w:t>
            </w:r>
          </w:p>
        </w:tc>
        <w:tc>
          <w:tcPr>
            <w:tcW w:w="391" w:type="dxa"/>
            <w:tcBorders/>
            <w:shd w:fill="CFF0FC" w:val="clear"/>
            <w:vAlign w:val="center"/>
          </w:tcPr>
          <w:p>
            <w:pPr>
              <w:pStyle w:val="TableContents"/>
              <w:bidi w:val="0"/>
              <w:spacing w:before="0" w:after="283"/>
              <w:jc w:val="left"/>
              <w:rPr/>
            </w:pPr>
            <w:r>
              <w:rPr/>
              <w:t> </w:t>
            </w:r>
          </w:p>
        </w:tc>
      </w:tr>
      <w:tr>
        <w:trPr/>
        <w:tc>
          <w:tcPr>
            <w:tcW w:w="19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1,439</w:t>
            </w:r>
          </w:p>
        </w:tc>
        <w:tc>
          <w:tcPr>
            <w:tcW w:w="391" w:type="dxa"/>
            <w:tcBorders/>
            <w:shd w:fill="FFFFFF" w:val="clear"/>
            <w:vAlign w:val="center"/>
          </w:tcPr>
          <w:p>
            <w:pPr>
              <w:pStyle w:val="TableContents"/>
              <w:bidi w:val="0"/>
              <w:spacing w:before="0" w:after="283"/>
              <w:jc w:val="left"/>
              <w:rPr/>
            </w:pPr>
            <w:r>
              <w:rPr/>
              <w:t> </w:t>
            </w:r>
          </w:p>
        </w:tc>
      </w:tr>
      <w:tr>
        <w:trPr/>
        <w:tc>
          <w:tcPr>
            <w:tcW w:w="19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5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Goodwill</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determined that there were no indicators of impairment for the U.S. Marketplace or U.K. Marketplace reporting units and therefore an interim impairment assessment was not performed at June 30, 2024.</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 connection with the triggering event discussed above, the Company evaluated the CarOffer reporting unit goodwill for impairment as of June 30, 2024, by comparing its estimated fair value to its carrying value. The Company estimated the fair value of the CarOffer reporting unit using an income-based valuation approach by means of a discounted cash flow method. This fair value measurement is categorized as Level 3 within the fair value hierarchy as there are significant unobservable inputs utilized in the valuation technique. The assumptions used to estimate the fair value of the reporting unit included forecasted revenue and EBITDA, long term expectations for growth rates and operating profit margin, expected needs for annual capital expenditure and net working capital, and a market-participant discount rate derived via the capital asset pricing model.</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the carrying value for the CarOffer reporting unit (after adjustments for other long-lived asset impairments discussed above) exceeded its fair value, resulting in a non-cash impairment charge of $86,769, which was recognized within operating expenses in the Unaudited Condensed Consolidated Income Statements in the Digital Wholesale segment. As the goodwill for the CarOffer reporting unit is tax deductible, the Company then calculated the deferred tax effect of the goodwill impairment charge using the simultaneous equation method. This resulted in additional goodwill impairment and deferred tax assets of $28,437, for a total goodwill impairment of $115,206</w:t>
      </w:r>
      <w:r>
        <w:rPr>
          <w:rFonts w:ascii="Times New Roman" w:hAnsi="Times New Roman"/>
          <w:color w:val="000000"/>
          <w:sz w:val="20"/>
        </w:rPr>
        <w:t xml:space="preserve"> </w:t>
      </w:r>
      <w:r>
        <w:rPr>
          <w:rFonts w:ascii="Calibri;sans-serif" w:hAnsi="Calibri;sans-serif"/>
          <w:color w:val="000000"/>
          <w:sz w:val="20"/>
        </w:rPr>
        <w:t>recognized within operating expenses in the Unaudited Condensed Consolidated Income Statements in the Digital Wholesale segment.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changes in the carrying value of goodwill are as follows:</w:t>
      </w:r>
    </w:p>
    <w:p>
      <w:pPr>
        <w:pStyle w:val="TextBody"/>
        <w:bidi w:val="0"/>
        <w:jc w:val="both"/>
        <w:rPr/>
      </w:pPr>
      <w:r>
        <w:rPr/>
        <w:t> </w:t>
      </w:r>
    </w:p>
    <w:tbl>
      <w:tblPr>
        <w:tblW w:w="9708" w:type="dxa"/>
        <w:jc w:val="left"/>
        <w:tblInd w:w="0" w:type="dxa"/>
        <w:tblLayout w:type="fixed"/>
        <w:tblCellMar>
          <w:top w:w="28" w:type="dxa"/>
          <w:left w:w="28" w:type="dxa"/>
          <w:bottom w:w="28" w:type="dxa"/>
          <w:right w:w="28" w:type="dxa"/>
        </w:tblCellMar>
      </w:tblPr>
      <w:tblGrid>
        <w:gridCol w:w="3486"/>
        <w:gridCol w:w="346"/>
        <w:gridCol w:w="306"/>
        <w:gridCol w:w="984"/>
        <w:gridCol w:w="146"/>
        <w:gridCol w:w="146"/>
        <w:gridCol w:w="264"/>
        <w:gridCol w:w="1056"/>
        <w:gridCol w:w="166"/>
        <w:gridCol w:w="146"/>
        <w:gridCol w:w="211"/>
        <w:gridCol w:w="676"/>
        <w:gridCol w:w="166"/>
        <w:gridCol w:w="146"/>
        <w:gridCol w:w="211"/>
        <w:gridCol w:w="841"/>
        <w:gridCol w:w="411"/>
      </w:tblGrid>
      <w:tr>
        <w:trPr/>
        <w:tc>
          <w:tcPr>
            <w:tcW w:w="34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Digital Wholesale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as of December 31, 2023</w:t>
            </w:r>
          </w:p>
        </w:tc>
        <w:tc>
          <w:tcPr>
            <w:tcW w:w="3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130,451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157,898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86"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Impairment of goodwill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(115,206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(115,206</w:t>
            </w:r>
          </w:p>
        </w:tc>
        <w:tc>
          <w:tcPr>
            <w:tcW w:w="41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486" w:type="dxa"/>
            <w:tcBorders/>
            <w:shd w:fill="CFF0FC" w:val="clear"/>
            <w:vAlign w:val="center"/>
          </w:tcPr>
          <w:p>
            <w:pPr>
              <w:pStyle w:val="TableContents"/>
              <w:bidi w:val="0"/>
              <w:spacing w:before="0" w:after="283"/>
              <w:ind w:left="0" w:right="0" w:firstLine="200"/>
              <w:jc w:val="left"/>
              <w:rPr>
                <w:rFonts w:ascii="Times New Roman" w:hAnsi="Times New Roman"/>
                <w:sz w:val="20"/>
              </w:rPr>
            </w:pPr>
            <w:r>
              <w:rPr>
                <w:rFonts w:ascii="Calibri;sans-serif" w:hAnsi="Calibri;sans-serif"/>
                <w:color w:val="000000"/>
                <w:sz w:val="20"/>
              </w:rPr>
              <w:t xml:space="preserve">Other </w:t>
            </w:r>
            <w:r>
              <w:rPr>
                <w:rFonts w:ascii="Calibri;sans-serif" w:hAnsi="Calibri;sans-serif"/>
                <w:color w:val="000000"/>
                <w:sz w:val="13"/>
              </w:rPr>
              <w:t>(1)</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10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4,323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86"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Foreign currency translation adjustment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as of June 30, 2024</w:t>
            </w:r>
          </w:p>
        </w:tc>
        <w:tc>
          <w:tcPr>
            <w:tcW w:w="346"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46,576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sz w:val="20"/>
        </w:rPr>
      </w:pPr>
      <w:r>
        <w:rPr>
          <w:rFonts w:ascii="Calibri;sans-serif" w:hAnsi="Calibri;sans-serif"/>
          <w:color w:val="000000"/>
          <w:sz w:val="13"/>
        </w:rPr>
        <w:t>During the three and six months ended June 30, 2024, the Company recognized an immaterial adjustment to goodwill and additional paid-in-capital,</w:t>
      </w:r>
      <w:r>
        <w:rPr>
          <w:rFonts w:ascii="Calibri;sans-serif" w:hAnsi="Calibri;sans-serif"/>
          <w:color w:val="000000"/>
          <w:sz w:val="20"/>
        </w:rPr>
        <w:t xml:space="preserve"> </w:t>
      </w:r>
      <w:r>
        <w:rPr>
          <w:rFonts w:ascii="Calibri;sans-serif" w:hAnsi="Calibri;sans-serif"/>
          <w:color w:val="000000"/>
          <w:sz w:val="13"/>
        </w:rPr>
        <w:t>associated with the acquisitions of its equity interests in CarOffer,</w:t>
      </w:r>
      <w:r>
        <w:rPr>
          <w:rFonts w:ascii="Calibri;sans-serif" w:hAnsi="Calibri;sans-serif"/>
          <w:color w:val="000000"/>
          <w:sz w:val="20"/>
        </w:rPr>
        <w:t xml:space="preserve"> </w:t>
      </w:r>
      <w:r>
        <w:rPr>
          <w:rFonts w:ascii="Calibri;sans-serif" w:hAnsi="Calibri;sans-serif"/>
          <w:color w:val="000000"/>
          <w:sz w:val="13"/>
        </w:rPr>
        <w:t>LLC.</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the accumulated impairment losses of goodwill were $115,206. As of December 31, 2023, there were no</w:t>
      </w:r>
      <w:r>
        <w:rPr>
          <w:rFonts w:ascii="Times New Roman" w:hAnsi="Times New Roman"/>
          <w:color w:val="000000"/>
          <w:sz w:val="20"/>
        </w:rPr>
        <w:t xml:space="preserve"> </w:t>
      </w:r>
      <w:r>
        <w:rPr>
          <w:rFonts w:ascii="Calibri;sans-serif" w:hAnsi="Calibri;sans-serif"/>
          <w:color w:val="000000"/>
          <w:sz w:val="20"/>
        </w:rPr>
        <w:t>accumulated impairment losses of goodwill.</w:t>
      </w:r>
    </w:p>
    <w:p>
      <w:pPr>
        <w:pStyle w:val="TextBody"/>
        <w:bidi w:val="0"/>
        <w:spacing w:before="240" w:after="283"/>
        <w:jc w:val="both"/>
        <w:rPr>
          <w:rFonts w:ascii="Times New Roman" w:hAnsi="Times New Roman"/>
          <w:sz w:val="20"/>
        </w:rPr>
      </w:pPr>
      <w:r>
        <w:rPr>
          <w:rFonts w:ascii="Calibri;sans-serif" w:hAnsi="Calibri;sans-serif"/>
          <w:color w:val="000000"/>
          <w:sz w:val="20"/>
        </w:rPr>
        <w:t>Due to the partial impairment of the CarOffer reporting unit goodwill, the remaining goodwill balance related to this reporting unit is still considered to be at risk for future impairments. If projected future operating results further decline, including as a result of economic conditions or operational challenges, the Company may need to record additional impairment charges to further reduce the goodwill at the CarOffer reporting unit, which could be material and negatively affect its operations.</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7. Accrued Expenses, Accrued Income Taxes, and Other Current Liabilities</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and December 31, 2023, accrued expenses, accrued income taxes, and other current liabilities consist of the following:</w:t>
      </w:r>
      <w:r>
        <w:rPr>
          <w:rFonts w:ascii="Times New Roman" w:hAnsi="Times New Roman"/>
          <w:color w:val="000000"/>
          <w:sz w:val="20"/>
        </w:rPr>
        <w:t xml:space="preserve"> </w:t>
      </w:r>
    </w:p>
    <w:p>
      <w:pPr>
        <w:pStyle w:val="TextBody"/>
        <w:bidi w:val="0"/>
        <w:jc w:val="both"/>
        <w:rPr/>
      </w:pPr>
      <w:r>
        <w:rPr/>
        <w:t> </w:t>
      </w:r>
    </w:p>
    <w:tbl>
      <w:tblPr>
        <w:tblW w:w="8927" w:type="dxa"/>
        <w:jc w:val="left"/>
        <w:tblInd w:w="0" w:type="dxa"/>
        <w:tblLayout w:type="fixed"/>
        <w:tblCellMar>
          <w:top w:w="28" w:type="dxa"/>
          <w:left w:w="28" w:type="dxa"/>
          <w:bottom w:w="28" w:type="dxa"/>
          <w:right w:w="28" w:type="dxa"/>
        </w:tblCellMar>
      </w:tblPr>
      <w:tblGrid>
        <w:gridCol w:w="6016"/>
        <w:gridCol w:w="146"/>
        <w:gridCol w:w="211"/>
        <w:gridCol w:w="676"/>
        <w:gridCol w:w="146"/>
        <w:gridCol w:w="146"/>
        <w:gridCol w:w="260"/>
        <w:gridCol w:w="835"/>
        <w:gridCol w:w="49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bonus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15,247</w:t>
            </w:r>
          </w:p>
        </w:tc>
        <w:tc>
          <w:tcPr>
            <w:tcW w:w="491" w:type="dxa"/>
            <w:tcBorders/>
            <w:shd w:fill="CFF0FC" w:val="clear"/>
            <w:vAlign w:val="center"/>
          </w:tcPr>
          <w:p>
            <w:pPr>
              <w:pStyle w:val="TableContents"/>
              <w:bidi w:val="0"/>
              <w:spacing w:before="0" w:after="283"/>
              <w:jc w:val="left"/>
              <w:rPr/>
            </w:pPr>
            <w:r>
              <w:rPr/>
              <w:t> </w:t>
            </w:r>
          </w:p>
        </w:tc>
      </w:tr>
      <w:tr>
        <w:trPr/>
        <w:tc>
          <w:tcPr>
            <w:tcW w:w="601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accrued expenses, accrued income taxes,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18,471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016" w:type="dxa"/>
            <w:tcBorders/>
            <w:shd w:fill="CFF0FC"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33,924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33,718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color w:val="000000"/>
          <w:sz w:val="20"/>
        </w:rPr>
        <w:t>8. Debt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and December 31, 2023, the Company had no</w:t>
      </w:r>
      <w:r>
        <w:rPr>
          <w:rFonts w:ascii="Times New Roman" w:hAnsi="Times New Roman"/>
          <w:color w:val="000000"/>
          <w:sz w:val="20"/>
        </w:rPr>
        <w:t xml:space="preserve"> </w:t>
      </w:r>
      <w:r>
        <w:rPr>
          <w:rFonts w:ascii="Calibri;sans-serif" w:hAnsi="Calibri;sans-serif"/>
          <w:color w:val="000000"/>
          <w:sz w:val="20"/>
        </w:rPr>
        <w:t>long-term debt outstanding.</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Revolving Credit Facility</w:t>
      </w:r>
    </w:p>
    <w:p>
      <w:pPr>
        <w:pStyle w:val="TextBody"/>
        <w:bidi w:val="0"/>
        <w:spacing w:before="240" w:after="283"/>
        <w:jc w:val="both"/>
        <w:rPr>
          <w:rFonts w:ascii="Times New Roman" w:hAnsi="Times New Roman"/>
          <w:sz w:val="20"/>
        </w:rPr>
      </w:pPr>
      <w:r>
        <w:rPr>
          <w:rFonts w:ascii="Calibri;sans-serif" w:hAnsi="Calibri;sans-serif"/>
          <w:color w:val="000000"/>
          <w:sz w:val="20"/>
        </w:rPr>
        <w:t>On September 26, 2022, the Company entered into a Credit Agreement (the “Credit Agreement”) with PNC Bank, National Association, as administrative agent and collateral agent and an L/C Issuer (as defined in the Credit Agreement), and the other lenders, L/C Issuers, and parties thereto from time to time. The Credit Agreement consists of a revolving credit facility (the “2022 Revolver”), which allows the Company to borrow up to $400.0</w:t>
      </w:r>
      <w:r>
        <w:rPr>
          <w:rFonts w:ascii="Times New Roman" w:hAnsi="Times New Roman"/>
          <w:color w:val="000000"/>
          <w:sz w:val="20"/>
        </w:rPr>
        <w:t xml:space="preserve"> </w:t>
      </w:r>
      <w:r>
        <w:rPr>
          <w:rFonts w:ascii="Calibri;sans-serif" w:hAnsi="Calibri;sans-serif"/>
          <w:color w:val="000000"/>
          <w:sz w:val="20"/>
        </w:rPr>
        <w:t>million, $50.0</w:t>
      </w:r>
      <w:r>
        <w:rPr>
          <w:rFonts w:ascii="Times New Roman" w:hAnsi="Times New Roman"/>
          <w:color w:val="000000"/>
          <w:sz w:val="20"/>
        </w:rPr>
        <w:t xml:space="preserve"> </w:t>
      </w:r>
      <w:r>
        <w:rPr>
          <w:rFonts w:ascii="Calibri;sans-serif" w:hAnsi="Calibri;sans-serif"/>
          <w:color w:val="000000"/>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w:t>
      </w:r>
      <w:r>
        <w:rPr>
          <w:rFonts w:ascii="Times New Roman" w:hAnsi="Times New Roman"/>
          <w:color w:val="000000"/>
          <w:sz w:val="20"/>
        </w:rPr>
        <w:t xml:space="preserve"> </w:t>
      </w:r>
      <w:r>
        <w:rPr>
          <w:rFonts w:ascii="Calibri;sans-serif" w:hAnsi="Calibri;sans-serif"/>
          <w:color w:val="000000"/>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2022 Revolver is secured by a first priority lien on substantially all tangible and intangible property of the Company, as well as any future guarantors, and pledges of the equity of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June 30, 2024.</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there were no</w:t>
      </w:r>
      <w:r>
        <w:rPr>
          <w:rFonts w:ascii="Times New Roman" w:hAnsi="Times New Roman"/>
          <w:color w:val="000000"/>
          <w:sz w:val="20"/>
        </w:rPr>
        <w:t xml:space="preserve"> </w:t>
      </w:r>
      <w:r>
        <w:rPr>
          <w:rFonts w:ascii="Calibri;sans-serif" w:hAnsi="Calibri;sans-serif"/>
          <w:color w:val="000000"/>
          <w:sz w:val="20"/>
        </w:rPr>
        <w:t>borrowings and $9,407</w:t>
      </w:r>
      <w:r>
        <w:rPr>
          <w:rFonts w:ascii="Times New Roman" w:hAnsi="Times New Roman"/>
          <w:color w:val="000000"/>
          <w:sz w:val="20"/>
        </w:rPr>
        <w:t xml:space="preserve"> </w:t>
      </w:r>
      <w:r>
        <w:rPr>
          <w:rFonts w:ascii="Calibri;sans-serif" w:hAnsi="Calibri;sans-serif"/>
          <w:color w:val="000000"/>
          <w:sz w:val="20"/>
        </w:rPr>
        <w:t>in letters of credit outstanding under the 2022 Revolver associated with the Company's leases, which reduced the borrowing capacity under the 2022 Revolver to $390,593. As of December 31, 2023, there were no</w:t>
      </w:r>
      <w:r>
        <w:rPr>
          <w:rFonts w:ascii="Times New Roman" w:hAnsi="Times New Roman"/>
          <w:color w:val="000000"/>
          <w:sz w:val="20"/>
        </w:rPr>
        <w:t xml:space="preserve"> </w:t>
      </w:r>
      <w:r>
        <w:rPr>
          <w:rFonts w:ascii="Calibri;sans-serif" w:hAnsi="Calibri;sans-serif"/>
          <w:color w:val="000000"/>
          <w:sz w:val="20"/>
        </w:rPr>
        <w:t>borrowings and $9,627</w:t>
      </w:r>
      <w:r>
        <w:rPr>
          <w:rFonts w:ascii="Times New Roman" w:hAnsi="Times New Roman"/>
          <w:color w:val="000000"/>
          <w:sz w:val="20"/>
        </w:rPr>
        <w:t xml:space="preserve"> </w:t>
      </w:r>
      <w:r>
        <w:rPr>
          <w:rFonts w:ascii="Calibri;sans-serif" w:hAnsi="Calibri;sans-serif"/>
          <w:color w:val="000000"/>
          <w:sz w:val="20"/>
        </w:rPr>
        <w:t>in letters of credit outstanding under the 2022 Revolver, which reduced the borrowing capacity under the 2022 Revolver to $390,373.</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and December 31, 2023, deferred financing costs were $1,669</w:t>
      </w:r>
      <w:r>
        <w:rPr>
          <w:rFonts w:ascii="Times New Roman" w:hAnsi="Times New Roman"/>
          <w:color w:val="000000"/>
          <w:sz w:val="20"/>
        </w:rPr>
        <w:t xml:space="preserve"> </w:t>
      </w:r>
      <w:r>
        <w:rPr>
          <w:rFonts w:ascii="Calibri;sans-serif" w:hAnsi="Calibri;sans-serif"/>
          <w:color w:val="000000"/>
          <w:sz w:val="20"/>
        </w:rPr>
        <w:t>and $1,927, respectively.</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amortization expense associated with deferred financing costs was immaterial.</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2024 and 2023 and for the six months ended June 30, 2024 and 2023, commitment fees under the 2022 Revolver were immaterial.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9. Commitments and Contingencies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Contractual Obligations and Commitments</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all of the Company’s property and equipment and hosting arrangements have been purchased with cash with the exception of unpaid amounts as disclosed in the Unaudited Condensed Consolidated Statements of 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In connection with the Company’s operating lease agreement in Boston, Massachusetts for 225,428</w:t>
      </w:r>
      <w:r>
        <w:rPr>
          <w:rFonts w:ascii="Times New Roman" w:hAnsi="Times New Roman"/>
          <w:color w:val="000000"/>
          <w:sz w:val="20"/>
        </w:rPr>
        <w:t xml:space="preserve"> </w:t>
      </w:r>
      <w:r>
        <w:rPr>
          <w:rFonts w:ascii="Calibri;sans-serif" w:hAnsi="Calibri;sans-serif"/>
          <w:color w:val="000000"/>
          <w:sz w:val="20"/>
        </w:rPr>
        <w:t>square feet at 1001 Boylston Street (the “1001 Boylston Street Lease"), the Company expects to spend an additional $16,348</w:t>
      </w:r>
      <w:r>
        <w:rPr>
          <w:rFonts w:ascii="Times New Roman" w:hAnsi="Times New Roman"/>
          <w:color w:val="000000"/>
          <w:sz w:val="20"/>
        </w:rPr>
        <w:t xml:space="preserve"> </w:t>
      </w:r>
      <w:r>
        <w:rPr>
          <w:rFonts w:ascii="Calibri;sans-serif" w:hAnsi="Calibri;sans-serif"/>
          <w:color w:val="000000"/>
          <w:sz w:val="20"/>
        </w:rPr>
        <w:t>to complete its buildout, of which $11,498</w:t>
      </w:r>
      <w:r>
        <w:rPr>
          <w:rFonts w:ascii="Times New Roman" w:hAnsi="Times New Roman"/>
          <w:color w:val="000000"/>
          <w:sz w:val="20"/>
        </w:rPr>
        <w:t xml:space="preserve"> </w:t>
      </w:r>
      <w:r>
        <w:rPr>
          <w:rFonts w:ascii="Calibri;sans-serif" w:hAnsi="Calibri;sans-serif"/>
          <w:color w:val="000000"/>
          <w:sz w:val="20"/>
        </w:rPr>
        <w:t>has been committed and remains unspent as of June 30, 2024. These costs will be partially reimbursable under the tenant improvement allowance.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Leases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Company’s material lease obligations consist of various leases for office space in: Boston, Massachusetts; Cambridge, Massachusetts; Addison, Texas; and Dublin, Ireland.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there were no material changes in the Company’s leases from those disclosed in the Annual Report, other than those described below.</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Addison, Texas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During the three months ended June 30, 2024, the Company identified an impairment of right-of-use assets associated with its Addison, Texas lease. For further information, refer to Note 6 of the Unaudited Condensed Consolidated Financial Statements.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1001 Boylston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On April 12, 2024 and May 3, 2024, the Company entered into various change orders regarding the 1001 Boylston Street Lease and related buildout. The change orders modify the responsibilities outlined in the 1001 Boylston Street Lease, and reallocate the responsibility of certain buildout costs from the landlord to the Company. The costs related to this work are reimbursable by the landlord, effectively increasing the tenant improvement allowance from the 1001 Boylston Street Lease by $456. The Company accounted for these change orders as a remeasurement of the 1001 Boylston Street Lease, using an incremental borrowing rate as of the modification date, May 3, 2024. The lease remeasurement resulted in a decrease in the lease liability and right-of-use asset on the Unaudited Condensed Consolidated Balance Sheets of $1,493. There was not a material impact on the Unaudited Condensed Consolidated Income Statement or future minimum lease payments.</w:t>
      </w:r>
    </w:p>
    <w:p>
      <w:pPr>
        <w:pStyle w:val="TextBody"/>
        <w:bidi w:val="0"/>
        <w:spacing w:before="240" w:after="283"/>
        <w:jc w:val="both"/>
        <w:rPr>
          <w:rFonts w:ascii="Times New Roman" w:hAnsi="Times New Roman"/>
          <w:sz w:val="20"/>
        </w:rPr>
      </w:pPr>
      <w:r>
        <w:rPr>
          <w:rFonts w:ascii="Calibri;sans-serif" w:hAnsi="Calibri;sans-serif"/>
          <w:color w:val="000000"/>
          <w:sz w:val="20"/>
        </w:rPr>
        <w:t>On March 19, 2024, the Company entered into a letter agreement regarding the 1001 Boylston Street Lease (the "2024 Letter Agreement"). The 2024 Letter Agreement memorializes the Substantial Completion Date, Commencement Date, Fixed Rent Commencement Date (as each term is defined in the 1001 Boylston Street Lease), and the rental credits and holdover compensation owed to the Company per the 1001 Boylston Street Lease. The 2024 Letter Agreement also modifies the parking privileges and payments, which commenced on June 1, 2024, and provides reimbursement from the landlord to the Company for additional unexpected costs incurred. The Company accounted for the 2024 Letter Agreement as a remeasurement of the 1001 Boylston Street Lease, using an incremental borrowing rate as of the modification date, March 19, 2024. The lease remeasurement resulted in a decrease in the lease liability and right-of-use asset on the Unaudited Condensed Consolidated Balance Sheets of $3,536. There was not a material impact on the Unaudited Condensed Consolidated Income Statement or future minimum lease payments.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Restricted Cash</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and December 31, 2023, restricted cash was $2,196</w:t>
      </w:r>
      <w:r>
        <w:rPr>
          <w:rFonts w:ascii="Times New Roman" w:hAnsi="Times New Roman"/>
          <w:color w:val="000000"/>
          <w:sz w:val="20"/>
        </w:rPr>
        <w:t xml:space="preserve"> </w:t>
      </w:r>
      <w:r>
        <w:rPr>
          <w:rFonts w:ascii="Calibri;sans-serif" w:hAnsi="Calibri;sans-serif"/>
          <w:color w:val="000000"/>
          <w:sz w:val="20"/>
        </w:rPr>
        <w:t>and $2,563, respectively, and in each case primarily related to pass-through payments from customers related to the Company’s Digital Wholesale business.</w:t>
      </w:r>
    </w:p>
    <w:p>
      <w:pPr>
        <w:pStyle w:val="TextBody"/>
        <w:bidi w:val="0"/>
        <w:spacing w:before="240" w:after="283"/>
        <w:jc w:val="both"/>
        <w:rPr>
          <w:rFonts w:ascii="Times New Roman" w:hAnsi="Times New Roman"/>
          <w:sz w:val="20"/>
        </w:rPr>
      </w:pPr>
      <w:r>
        <w:rPr>
          <w:rFonts w:ascii="Calibri;sans-serif" w:hAnsi="Calibri;sans-serif"/>
          <w:b/>
          <w:i/>
          <w:color w:val="000000"/>
          <w:sz w:val="20"/>
        </w:rPr>
        <w:t>Legal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Guarantees and Indemnification Obligations</w:t>
      </w:r>
    </w:p>
    <w:p>
      <w:pPr>
        <w:pStyle w:val="TextBody"/>
        <w:bidi w:val="0"/>
        <w:spacing w:before="240" w:after="283"/>
        <w:jc w:val="both"/>
        <w:rPr>
          <w:rFonts w:ascii="Times New Roman" w:hAnsi="Times New Roman"/>
          <w:sz w:val="20"/>
        </w:rPr>
      </w:pPr>
      <w:r>
        <w:rPr>
          <w:rFonts w:ascii="Calibri;sans-serif" w:hAnsi="Calibri;sans-serif"/>
          <w:color w:val="000000"/>
          <w:sz w:val="20"/>
        </w:rPr>
        <w:t>In the ordinary course of business, the Company enters into agreements with its customers, partners, and service providers that include commercial provisions with respect to licensing, infringement, guarantees, indemnification, and other common provisions.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 xml:space="preserve">The Company provides certain guarantees to dealers through products such as its 45-Day Guarantee and OfferGuard service offerings on the CarOffer platform, which are accounted for under ASC Topic 460, </w:t>
      </w:r>
      <w:r>
        <w:rPr>
          <w:rFonts w:ascii="Calibri;sans-serif" w:hAnsi="Calibri;sans-serif"/>
          <w:i/>
          <w:color w:val="000000"/>
          <w:sz w:val="20"/>
        </w:rPr>
        <w:t>Guarantees</w:t>
      </w:r>
      <w:r>
        <w:rPr>
          <w:rFonts w:ascii="Calibri;sans-serif" w:hAnsi="Calibri;sans-serif"/>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45-Day Guarantee is an arrangement through which a selling dealer lists a car on the CarOffer platform, and the Company provides an offer to purchase the vehicle listed at a specified price at any time over a 45-day period. This provides the seller with a put option, where they have the right, but not the obligation, to require the Company to purchase the vehicle during this window. OfferGuard is an arrangement through which a buying dealer purchases a car on the CarOffer platform, and the Company provides an offer to purchase the vehicle at a specified price between days 1 and 3, and days 42 and 45 if the dealer is not able to sell the vehicle after 42 days.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income for guarantees purchased by dealers was $127, $546, $363, and $1,160, respectively. For the three months ended June 30, 2024 and 2023 and for the six months ended June 30, 2024 and 2023, the net gains or losses recognized within cost of revenue in the Unaudited Condensed Consolidated Income Statements resulting from dealers' exercise of guarantees was immaterial.</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the maximum potential amount of future payments that the Company could be required to make under these guarantees was $4,945. Of the maximum potential amount of future payments, the losses that were probable were not material. As such, as of June 30, 2024, the Company had no material contingent loss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December 31, 2023, the maximum potential amount of future payments that the Company could be required to make under these guarantees was $10,158. Of the maximum potential amount of future payments, the losses that were probable were not material. As such, as of December 31, 2023, the Company had no material contingent loss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10. Stock-based Compensation and Common Stock Share Repurchases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Stock-based Compensation Expense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stock-based compensation expense by award type and where the stock-based compensation expense was recognized in the Unaudited Condensed Consolidated Income Statements is as follows:</w:t>
      </w:r>
    </w:p>
    <w:tbl>
      <w:tblPr>
        <w:tblW w:w="7932" w:type="dxa"/>
        <w:jc w:val="left"/>
        <w:tblInd w:w="0" w:type="dxa"/>
        <w:tblLayout w:type="fixed"/>
        <w:tblCellMar>
          <w:top w:w="28" w:type="dxa"/>
          <w:left w:w="28" w:type="dxa"/>
          <w:bottom w:w="28" w:type="dxa"/>
          <w:right w:w="28" w:type="dxa"/>
        </w:tblCellMar>
      </w:tblPr>
      <w:tblGrid>
        <w:gridCol w:w="2971"/>
        <w:gridCol w:w="146"/>
        <w:gridCol w:w="211"/>
        <w:gridCol w:w="676"/>
        <w:gridCol w:w="146"/>
        <w:gridCol w:w="146"/>
        <w:gridCol w:w="211"/>
        <w:gridCol w:w="676"/>
        <w:gridCol w:w="146"/>
        <w:gridCol w:w="146"/>
        <w:gridCol w:w="211"/>
        <w:gridCol w:w="676"/>
        <w:gridCol w:w="146"/>
        <w:gridCol w:w="146"/>
        <w:gridCol w:w="211"/>
        <w:gridCol w:w="67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1,204</w:t>
            </w:r>
          </w:p>
        </w:tc>
        <w:tc>
          <w:tcPr>
            <w:tcW w:w="3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28,375</w:t>
            </w:r>
          </w:p>
        </w:tc>
        <w:tc>
          <w:tcPr>
            <w:tcW w:w="3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 Incentive Units and Subject Units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7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15,557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15,827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31,379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30,804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both"/>
        <w:rPr/>
      </w:pPr>
      <w:r>
        <w:rPr/>
        <w:t> </w:t>
      </w:r>
    </w:p>
    <w:tbl>
      <w:tblPr>
        <w:tblW w:w="8832" w:type="dxa"/>
        <w:jc w:val="left"/>
        <w:tblInd w:w="0" w:type="dxa"/>
        <w:tblLayout w:type="fixed"/>
        <w:tblCellMar>
          <w:top w:w="28" w:type="dxa"/>
          <w:left w:w="28" w:type="dxa"/>
          <w:bottom w:w="28" w:type="dxa"/>
          <w:right w:w="28" w:type="dxa"/>
        </w:tblCellMar>
      </w:tblPr>
      <w:tblGrid>
        <w:gridCol w:w="3871"/>
        <w:gridCol w:w="146"/>
        <w:gridCol w:w="211"/>
        <w:gridCol w:w="676"/>
        <w:gridCol w:w="146"/>
        <w:gridCol w:w="146"/>
        <w:gridCol w:w="211"/>
        <w:gridCol w:w="676"/>
        <w:gridCol w:w="146"/>
        <w:gridCol w:w="146"/>
        <w:gridCol w:w="211"/>
        <w:gridCol w:w="676"/>
        <w:gridCol w:w="146"/>
        <w:gridCol w:w="146"/>
        <w:gridCol w:w="211"/>
        <w:gridCol w:w="676"/>
        <w:gridCol w:w="3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328</w:t>
            </w:r>
          </w:p>
        </w:tc>
        <w:tc>
          <w:tcPr>
            <w:tcW w:w="3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Sales and marketing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5,956</w:t>
            </w:r>
          </w:p>
        </w:tc>
        <w:tc>
          <w:tcPr>
            <w:tcW w:w="39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technology,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12,323</w:t>
            </w:r>
          </w:p>
        </w:tc>
        <w:tc>
          <w:tcPr>
            <w:tcW w:w="3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12,197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7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30,804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2024 and 2023 and for the six months ended June 30, 2024 and 2023, stock-based compensation expense excluded $1,861, $1,292, $3,688, and $2,437, respectively, of capitalized website development costs, capitalized internal-use software costs, and capitalized hosting arrangements.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Common Stock Share Repurchases</w:t>
      </w:r>
    </w:p>
    <w:p>
      <w:pPr>
        <w:pStyle w:val="TextBody"/>
        <w:bidi w:val="0"/>
        <w:spacing w:before="240" w:after="283"/>
        <w:jc w:val="both"/>
        <w:rPr>
          <w:rFonts w:ascii="Times New Roman" w:hAnsi="Times New Roman"/>
          <w:sz w:val="20"/>
        </w:rPr>
      </w:pPr>
      <w:r>
        <w:rPr>
          <w:rFonts w:ascii="Calibri;sans-serif" w:hAnsi="Calibri;sans-serif"/>
          <w:color w:val="000000"/>
          <w:sz w:val="20"/>
        </w:rPr>
        <w:t>On November 7, 2023, the Company announced that the Board of Directors authorized a share repurchase program (the "2024 Share Repurchase Program") pursuant to which the Company may, from time to time, purchase shares of its Class A common stock for an aggregate purchase price not to exceed $250.0</w:t>
      </w:r>
      <w:r>
        <w:rPr>
          <w:rFonts w:ascii="Times New Roman" w:hAnsi="Times New Roman"/>
          <w:color w:val="000000"/>
          <w:sz w:val="20"/>
        </w:rPr>
        <w:t xml:space="preserve"> </w:t>
      </w:r>
      <w:r>
        <w:rPr>
          <w:rFonts w:ascii="Calibri;sans-serif" w:hAnsi="Calibri;sans-serif"/>
          <w:color w:val="000000"/>
          <w:sz w:val="20"/>
        </w:rPr>
        <w:t>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2024 Share Repurchase Program does not obligate the Company to repurchase any minimum dollar amount or number of shares. The 2024 Share Repurchase Program has an effective date of January 1, 2024, and an expiration date of December 31, 2024, and prior to its expiration may be modified, suspended, or discontinued by the Board of Directors at any time without prior notice. All repurchased shares of Class A common stock under the 2024 Share Repurchase Program will be retired. The Company has funded and expects to continue to fund any additional share repurchases under the 2024 Share Repurchase Program through cash on hand and cash generated from operations.</w:t>
      </w:r>
    </w:p>
    <w:p>
      <w:pPr>
        <w:pStyle w:val="TextBody"/>
        <w:bidi w:val="0"/>
        <w:spacing w:before="240" w:after="283"/>
        <w:jc w:val="both"/>
        <w:rPr>
          <w:rFonts w:ascii="Times New Roman" w:hAnsi="Times New Roman"/>
          <w:sz w:val="20"/>
        </w:rPr>
      </w:pPr>
      <w:r>
        <w:rPr>
          <w:rFonts w:ascii="Calibri;sans-serif" w:hAnsi="Calibri;sans-serif"/>
          <w:color w:val="000000"/>
          <w:sz w:val="20"/>
        </w:rPr>
        <w:t>On December 8, 2022, the Company announced that the Board of Directors authorized a share repurchase program (the “2022 Share Repurchase Program”) pursuant to which the Company could, from time to time, purchase shares of its Class A common stock for an aggregate purchase price not to exceed $250.0</w:t>
      </w:r>
      <w:r>
        <w:rPr>
          <w:rFonts w:ascii="Times New Roman" w:hAnsi="Times New Roman"/>
          <w:color w:val="000000"/>
          <w:sz w:val="20"/>
        </w:rPr>
        <w:t xml:space="preserve"> </w:t>
      </w:r>
      <w:r>
        <w:rPr>
          <w:rFonts w:ascii="Calibri;sans-serif" w:hAnsi="Calibri;sans-serif"/>
          <w:color w:val="000000"/>
          <w:sz w:val="20"/>
        </w:rPr>
        <w:t>million. The 2022 Share Repurchase Program expired on December 31, 2023. The 2022 Share Repurchase Program did not obligate the Company to repurchase any minimum dollar amount or number of shares. All repurchased shares of Class A common stock under the 2022 Share Repurchase Program were retired. The Company funded share repurchases under the 2022 Share Repurchase Program through cash on hand and cash generated from operations.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2024, the Company repurchased and retired 2,654,807</w:t>
      </w:r>
      <w:r>
        <w:rPr>
          <w:rFonts w:ascii="Times New Roman" w:hAnsi="Times New Roman"/>
          <w:color w:val="000000"/>
          <w:sz w:val="20"/>
        </w:rPr>
        <w:t xml:space="preserve"> </w:t>
      </w:r>
      <w:r>
        <w:rPr>
          <w:rFonts w:ascii="Calibri;sans-serif" w:hAnsi="Calibri;sans-serif"/>
          <w:color w:val="000000"/>
          <w:sz w:val="20"/>
        </w:rPr>
        <w:t>shares for $61,350, exclusive of commissions and excise tax, at an average cost of $23.11</w:t>
      </w:r>
      <w:r>
        <w:rPr>
          <w:rFonts w:ascii="Times New Roman" w:hAnsi="Times New Roman"/>
          <w:color w:val="000000"/>
          <w:sz w:val="20"/>
        </w:rPr>
        <w:t xml:space="preserve"> </w:t>
      </w:r>
      <w:r>
        <w:rPr>
          <w:rFonts w:ascii="Calibri;sans-serif" w:hAnsi="Calibri;sans-serif"/>
          <w:color w:val="000000"/>
          <w:sz w:val="20"/>
        </w:rPr>
        <w:t>per share, under the 2024 Share Repurchase Program. During the six months ended June 30, 2024, the Company repurchased and retired 6,193,001</w:t>
      </w:r>
      <w:r>
        <w:rPr>
          <w:rFonts w:ascii="Times New Roman" w:hAnsi="Times New Roman"/>
          <w:color w:val="000000"/>
          <w:sz w:val="20"/>
        </w:rPr>
        <w:t xml:space="preserve"> </w:t>
      </w:r>
      <w:r>
        <w:rPr>
          <w:rFonts w:ascii="Calibri;sans-serif" w:hAnsi="Calibri;sans-serif"/>
          <w:color w:val="000000"/>
          <w:sz w:val="20"/>
        </w:rPr>
        <w:t>shares for $142,417, exclusive of commissions and excise tax, at an average cost of $23.00</w:t>
      </w:r>
      <w:r>
        <w:rPr>
          <w:rFonts w:ascii="Times New Roman" w:hAnsi="Times New Roman"/>
          <w:color w:val="000000"/>
          <w:sz w:val="20"/>
        </w:rPr>
        <w:t xml:space="preserve"> </w:t>
      </w:r>
      <w:r>
        <w:rPr>
          <w:rFonts w:ascii="Calibri;sans-serif" w:hAnsi="Calibri;sans-serif"/>
          <w:color w:val="000000"/>
          <w:sz w:val="20"/>
        </w:rPr>
        <w:t>per share, under the 2024 Share Repurchase Program. As of June 30, 2024, the Company had remaining authorization to purchase up to $107,583</w:t>
      </w:r>
      <w:r>
        <w:rPr>
          <w:rFonts w:ascii="Times New Roman" w:hAnsi="Times New Roman"/>
          <w:color w:val="000000"/>
          <w:sz w:val="20"/>
        </w:rPr>
        <w:t xml:space="preserve"> </w:t>
      </w:r>
      <w:r>
        <w:rPr>
          <w:rFonts w:ascii="Calibri;sans-serif" w:hAnsi="Calibri;sans-serif"/>
          <w:color w:val="000000"/>
          <w:sz w:val="20"/>
        </w:rPr>
        <w:t>of the Company's Class A common stock under the 2024 Share Repurchase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2023, the Company repurchased and retired 1,311,387</w:t>
      </w:r>
      <w:r>
        <w:rPr>
          <w:rFonts w:ascii="Times New Roman" w:hAnsi="Times New Roman"/>
          <w:color w:val="000000"/>
          <w:sz w:val="20"/>
        </w:rPr>
        <w:t xml:space="preserve"> </w:t>
      </w:r>
      <w:r>
        <w:rPr>
          <w:rFonts w:ascii="Calibri;sans-serif" w:hAnsi="Calibri;sans-serif"/>
          <w:color w:val="000000"/>
          <w:sz w:val="20"/>
        </w:rPr>
        <w:t>shares for $21,968, exclusive of commissions and excise tax, at an average cost of $16.75</w:t>
      </w:r>
      <w:r>
        <w:rPr>
          <w:rFonts w:ascii="Times New Roman" w:hAnsi="Times New Roman"/>
          <w:color w:val="000000"/>
          <w:sz w:val="20"/>
        </w:rPr>
        <w:t xml:space="preserve"> </w:t>
      </w:r>
      <w:r>
        <w:rPr>
          <w:rFonts w:ascii="Calibri;sans-serif" w:hAnsi="Calibri;sans-serif"/>
          <w:color w:val="000000"/>
          <w:sz w:val="20"/>
        </w:rPr>
        <w:t>per share, under the 2022 Share Repurchase Program. During the six months ended June 30, 2023, the Company repurchased and retired 5,301,248</w:t>
      </w:r>
      <w:r>
        <w:rPr>
          <w:rFonts w:ascii="Times New Roman" w:hAnsi="Times New Roman"/>
          <w:color w:val="000000"/>
          <w:sz w:val="20"/>
        </w:rPr>
        <w:t xml:space="preserve"> </w:t>
      </w:r>
      <w:r>
        <w:rPr>
          <w:rFonts w:ascii="Calibri;sans-serif" w:hAnsi="Calibri;sans-serif"/>
          <w:color w:val="000000"/>
          <w:sz w:val="20"/>
        </w:rPr>
        <w:t>shares for $87,119, exclusive of commissions and excise tax, at an average cost of $16.43</w:t>
      </w:r>
      <w:r>
        <w:rPr>
          <w:rFonts w:ascii="Times New Roman" w:hAnsi="Times New Roman"/>
          <w:color w:val="000000"/>
          <w:sz w:val="20"/>
        </w:rPr>
        <w:t xml:space="preserve"> </w:t>
      </w:r>
      <w:r>
        <w:rPr>
          <w:rFonts w:ascii="Calibri;sans-serif" w:hAnsi="Calibri;sans-serif"/>
          <w:color w:val="000000"/>
          <w:sz w:val="20"/>
        </w:rPr>
        <w:t>per share, under the Share Repurchase Program.</w:t>
      </w:r>
    </w:p>
    <w:p>
      <w:pPr>
        <w:pStyle w:val="TextBody"/>
        <w:bidi w:val="0"/>
        <w:spacing w:before="240" w:after="283"/>
        <w:jc w:val="left"/>
        <w:rPr>
          <w:rFonts w:ascii="Times New Roman" w:hAnsi="Times New Roman"/>
          <w:sz w:val="20"/>
        </w:rPr>
      </w:pPr>
      <w:r>
        <w:rPr>
          <w:rFonts w:ascii="Calibri;sans-serif" w:hAnsi="Calibri;sans-serif"/>
          <w:b/>
          <w:color w:val="000000"/>
          <w:sz w:val="20"/>
        </w:rPr>
        <w:t>11. Earnings Per Share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w:t>
      </w:r>
      <w:r>
        <w:rPr>
          <w:rFonts w:ascii="Times New Roman" w:hAnsi="Times New Roman"/>
          <w:color w:val="000000"/>
          <w:sz w:val="20"/>
        </w:rPr>
        <w:t xml:space="preserve"> </w:t>
      </w:r>
      <w:r>
        <w:rPr>
          <w:rFonts w:ascii="Calibri;sans-serif" w:hAnsi="Calibri;sans-serif"/>
          <w:color w:val="000000"/>
          <w:sz w:val="20"/>
        </w:rPr>
        <w:t>and each share of Class B common stock is entitled to</w:t>
      </w:r>
      <w:r>
        <w:rPr>
          <w:rFonts w:ascii="Times New Roman" w:hAnsi="Times New Roman"/>
          <w:color w:val="000000"/>
          <w:sz w:val="20"/>
        </w:rPr>
        <w:t xml:space="preserve"> </w:t>
      </w:r>
      <w:r>
        <w:rPr>
          <w:rFonts w:ascii="Calibri;sans-serif" w:hAnsi="Calibri;sans-serif"/>
          <w:color w:val="000000"/>
          <w:sz w:val="20"/>
        </w:rPr>
        <w:t>ten votes per share. Each share of Class B common stock is convertible into one share of Class A common stock at the option of the holder at any time or automatically upon certain events described in the Company’s fourth amended and restated certificate of incorporation, including upon either the death or voluntary termination of the Company’s Executive Chair.</w:t>
      </w:r>
      <w:r>
        <w:rPr>
          <w:rFonts w:ascii="Times New Roman" w:hAnsi="Times New Roman"/>
          <w:color w:val="000000"/>
          <w:sz w:val="20"/>
        </w:rPr>
        <w:t xml:space="preserve"> </w:t>
      </w:r>
      <w:r>
        <w:rPr>
          <w:rFonts w:ascii="Calibri;sans-serif" w:hAnsi="Calibri;sans-serif"/>
          <w:color w:val="000000"/>
          <w:sz w:val="20"/>
        </w:rPr>
        <w:t>The Company allocates undistributed earnings attributable to common stock between the common stock classes on a one</w:t>
        <w:noBreakHyphen/>
        <w:t>to</w:t>
        <w:noBreakHyphen/>
        <w:t>one</w:t>
      </w:r>
      <w:r>
        <w:rPr>
          <w:rFonts w:ascii="Times New Roman" w:hAnsi="Times New Roman"/>
          <w:color w:val="000000"/>
          <w:sz w:val="20"/>
        </w:rPr>
        <w:t xml:space="preserve"> </w:t>
      </w:r>
      <w:r>
        <w:rPr>
          <w:rFonts w:ascii="Calibri;sans-serif" w:hAnsi="Calibri;sans-serif"/>
          <w:color w:val="000000"/>
          <w:sz w:val="20"/>
        </w:rPr>
        <w:t>basis when computing net income per share. As a result, basic and diluted net income per share of Class A common stock and per share of Class B common stock are equivalent.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2024 and 2023 and the six months ended June 30, 2024 and 2023,</w:t>
      </w:r>
      <w:r>
        <w:rPr>
          <w:rFonts w:ascii="Times New Roman" w:hAnsi="Times New Roman"/>
          <w:color w:val="000000"/>
          <w:sz w:val="20"/>
        </w:rPr>
        <w:t xml:space="preserve"> </w:t>
      </w:r>
      <w:r>
        <w:rPr>
          <w:rFonts w:ascii="Calibri;sans-serif" w:hAnsi="Calibri;sans-serif"/>
          <w:color w:val="000000"/>
          <w:sz w:val="20"/>
        </w:rPr>
        <w:t>no</w:t>
      </w:r>
      <w:r>
        <w:rPr>
          <w:rFonts w:ascii="Times New Roman" w:hAnsi="Times New Roman"/>
          <w:color w:val="000000"/>
          <w:sz w:val="20"/>
        </w:rPr>
        <w:t xml:space="preserve"> </w:t>
      </w:r>
      <w:r>
        <w:rPr>
          <w:rFonts w:ascii="Calibri;sans-serif" w:hAnsi="Calibri;sans-serif"/>
          <w:color w:val="000000"/>
          <w:sz w:val="20"/>
        </w:rPr>
        <w:t>shares of Class B common stock were converted into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Basic net income per share (“Basic EPS”) is computed by dividing consolidated net income adjusted for net loss attributable to redeemable noncontrolling interest and changes in the redemption value of redeemable noncontrolling interest, if applicable,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283"/>
        <w:jc w:val="both"/>
        <w:rPr>
          <w:rFonts w:ascii="Times New Roman" w:hAnsi="Times New Roman"/>
          <w:sz w:val="20"/>
        </w:rPr>
      </w:pPr>
      <w:r>
        <w:rPr>
          <w:rFonts w:ascii="Calibri;sans-serif" w:hAnsi="Calibri;sans-serif"/>
          <w:color w:val="000000"/>
          <w:sz w:val="20"/>
        </w:rPr>
        <w:t>Diluted net income per share (“Diluted EPS”) gives effect to all potentially dilutive securities. Diluted EPS is computed by dividing consolidated net income adjusted for net loss attributable to redeemable noncontrolling interest and changes in the redemption value of redeemable noncontrolling interest, if applicable and dilutive, by the weighted-average number of common shares outstanding during the reporting period using (i) the number of shares of common stock used in the Basic EPS calculation as indicated above, and (ii) if dilutive, the incremental weighted-average common stock that the Company would issue upon the exercise of stock options and the vesting of restricted stock units. The dilutive effect of these common stock equivalents is reflected in diluted earnings per share by application of the treasury stock method. For previous periods, the if-converted method was used to calculate the number of shares issuable upon exercise of the 2024 Put Right (as defined in Note 2 to the consolidated financial statements contained within the Annual Report), inclusive of CarOffer noncontrolling interest and CO Incentive and Subject Units (as each term is defined in Note 2 to the consolidated financial statements contained within the Annual Report), that would have been issuable as of the end of the reporting period assuming the end of the reporting period was also the end of the contingency period.</w:t>
      </w:r>
      <w:r>
        <w:rPr>
          <w:rFonts w:ascii="Times New Roman" w:hAnsi="Times New Roman"/>
          <w:color w:val="FF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2024 and 2023 and for the six months ended June 30, 2024 and 2023, a reconciliation of the numerator and denominator used in the calculation of basic and diluted net (loss) income per share is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24"/>
        <w:gridCol w:w="146"/>
        <w:gridCol w:w="211"/>
        <w:gridCol w:w="1141"/>
        <w:gridCol w:w="166"/>
        <w:gridCol w:w="146"/>
        <w:gridCol w:w="211"/>
        <w:gridCol w:w="1141"/>
        <w:gridCol w:w="166"/>
        <w:gridCol w:w="146"/>
        <w:gridCol w:w="211"/>
        <w:gridCol w:w="1141"/>
        <w:gridCol w:w="166"/>
        <w:gridCol w:w="146"/>
        <w:gridCol w:w="211"/>
        <w:gridCol w:w="1141"/>
        <w:gridCol w:w="391"/>
      </w:tblGrid>
      <w:tr>
        <w:trPr/>
        <w:tc>
          <w:tcPr>
            <w:tcW w:w="3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25,683</w:t>
            </w:r>
          </w:p>
        </w:tc>
        <w:tc>
          <w:tcPr>
            <w:tcW w:w="391" w:type="dxa"/>
            <w:tcBorders/>
            <w:shd w:fill="FFFFFF" w:val="cle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(6,862</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income attributable to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32,545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(6,862</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income attributable to common stockholders — diluted</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25,683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 xml:space="preserve">Weighted-average number of shares of common stock used </w:t>
              <w:br/>
              <w:t xml:space="preserve">   in computing net (loss) income per share attributable to </w:t>
              <w:br/>
              <w:t>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103,827,661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113,438,057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105,501,236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114,392,961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Dilutive effect of share equivalents resulting from stock </w:t>
              <w:br/>
              <w:t>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226,406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228,043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2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Dilutive effect of share equivalents resulting from</w:t>
              <w:br/>
              <w:t>   unvested restricted stock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826,188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576,886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2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 xml:space="preserve">Weighted-average number of shares of common stock </w:t>
              <w:br/>
              <w:t xml:space="preserve">   used in computing net (loss) income per share attributable to </w:t>
              <w:br/>
              <w:t>   common stockholders — diluted</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103,827,661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114,490,651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105,501,236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115,197,890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income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3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2024 and 2023 and for the six months ended June 30, 2024 and 2023, potentially dilutive common stock equivalents that have been excluded from the calculation of diluted weighted-average shares outstanding as their effect would have been anti-dilutive are as follows:</w:t>
      </w:r>
      <w:r>
        <w:rPr>
          <w:rFonts w:ascii="Times New Roman" w:hAnsi="Times New Roman"/>
          <w:color w:val="000000"/>
          <w:sz w:val="20"/>
        </w:rPr>
        <w:t xml:space="preserve"> </w:t>
      </w:r>
    </w:p>
    <w:p>
      <w:pPr>
        <w:pStyle w:val="TextBody"/>
        <w:bidi w:val="0"/>
        <w:jc w:val="left"/>
        <w:rPr/>
      </w:pPr>
      <w:r>
        <w:rPr/>
        <w:t> </w:t>
      </w:r>
    </w:p>
    <w:tbl>
      <w:tblPr>
        <w:tblW w:w="8297" w:type="dxa"/>
        <w:jc w:val="left"/>
        <w:tblInd w:w="0" w:type="dxa"/>
        <w:tblLayout w:type="fixed"/>
        <w:tblCellMar>
          <w:top w:w="28" w:type="dxa"/>
          <w:left w:w="28" w:type="dxa"/>
          <w:bottom w:w="28" w:type="dxa"/>
          <w:right w:w="28" w:type="dxa"/>
        </w:tblCellMar>
      </w:tblPr>
      <w:tblGrid>
        <w:gridCol w:w="2776"/>
        <w:gridCol w:w="146"/>
        <w:gridCol w:w="146"/>
        <w:gridCol w:w="931"/>
        <w:gridCol w:w="146"/>
        <w:gridCol w:w="146"/>
        <w:gridCol w:w="146"/>
        <w:gridCol w:w="931"/>
        <w:gridCol w:w="146"/>
        <w:gridCol w:w="146"/>
        <w:gridCol w:w="146"/>
        <w:gridCol w:w="931"/>
        <w:gridCol w:w="146"/>
        <w:gridCol w:w="146"/>
        <w:gridCol w:w="146"/>
        <w:gridCol w:w="93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 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713,205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558,080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537,981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559,054</w:t>
            </w:r>
          </w:p>
        </w:tc>
        <w:tc>
          <w:tcPr>
            <w:tcW w:w="19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Restricted stock units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6,567,748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2,291,538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1,025,342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2,749,365</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For the three and six months ended June 30, 2024, there was no effect of potentially dilutive shares as the numerator was negative and there were no contingently issuable shares as a result of the acquisition of remaining minority equity interests in CarOffer. For the three and six months ended June 30, 2023, the number of issuable shares estimated upon exercise of the 2024 Put Right was zero.</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12. Income Taxes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2024 and 2023, the Company recognized an income tax benefit of $21,702</w:t>
      </w:r>
      <w:r>
        <w:rPr>
          <w:rFonts w:ascii="Times New Roman" w:hAnsi="Times New Roman"/>
          <w:color w:val="000000"/>
          <w:sz w:val="20"/>
        </w:rPr>
        <w:t xml:space="preserve"> </w:t>
      </w:r>
      <w:r>
        <w:rPr>
          <w:rFonts w:ascii="Calibri;sans-serif" w:hAnsi="Calibri;sans-serif"/>
          <w:color w:val="000000"/>
          <w:sz w:val="20"/>
        </w:rPr>
        <w:t>and an income tax provision of $8,601, representing an effective tax rate of 24.0%</w:t>
      </w:r>
      <w:r>
        <w:rPr>
          <w:rFonts w:ascii="Times New Roman" w:hAnsi="Times New Roman"/>
          <w:color w:val="000000"/>
          <w:sz w:val="20"/>
        </w:rPr>
        <w:t xml:space="preserve"> </w:t>
      </w:r>
      <w:r>
        <w:rPr>
          <w:rFonts w:ascii="Calibri;sans-serif" w:hAnsi="Calibri;sans-serif"/>
          <w:color w:val="000000"/>
          <w:sz w:val="20"/>
        </w:rPr>
        <w:t>and 34.4%, respectively. During the six months ended June 30, 2024 and 2023, the Company recognized an income tax benefit of $13,318</w:t>
      </w:r>
      <w:r>
        <w:rPr>
          <w:rFonts w:ascii="Times New Roman" w:hAnsi="Times New Roman"/>
          <w:color w:val="000000"/>
          <w:sz w:val="20"/>
        </w:rPr>
        <w:t xml:space="preserve"> </w:t>
      </w:r>
      <w:r>
        <w:rPr>
          <w:rFonts w:ascii="Calibri;sans-serif" w:hAnsi="Calibri;sans-serif"/>
          <w:color w:val="000000"/>
          <w:sz w:val="20"/>
        </w:rPr>
        <w:t>and income tax provision of $15,132, representing an effective tax rate of 21.9%, and 31.7%, respectively.</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effective tax rates for the three months ended June 30, 2024 and 2023 and the six months ended June 30, 2024 and 2023, was greater than the statutory tax rate of 21%, principally due to state and local income taxes, the Section 162(m) excess officer compensation limitation, and non-deductible meals and commuter fringe benefits, partially offset by federal and state research and development tax credits.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Organisation for Economic Co-operation and Development introduced an international tax framework under Pillar Two, which includes a global minimum tax of 15%. Pillar Two legislation has been enacted or substantively enacted in certain jurisdictions where the Company operates. The Pillar Two legislation became effective for the Company's fiscal year beginning January 1, 2024. The Company performed an assessment of its potential exposure to Pillar Two income taxes based on the Company's most recent tax filings, country-by-country reporting, and financial statements for the constituent entities within the Company. Based on the assessment performed, the Company meets the Pillar Two transitional safe harbor effective tax rate relief as all jurisdictions in which the Company operates are above 15%. The Company does not expect any exposure to Pillar Two income taxes in any jurisdictions.</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and its subsidiaries are subject to various U.S. federal, state, and foreign income tax examinations. The Company is currently not subject to income tax examination for the tax years 2019</w:t>
      </w:r>
      <w:r>
        <w:rPr>
          <w:rFonts w:ascii="Times New Roman" w:hAnsi="Times New Roman"/>
          <w:color w:val="000000"/>
          <w:sz w:val="20"/>
        </w:rPr>
        <w:t xml:space="preserve"> </w:t>
      </w:r>
      <w:r>
        <w:rPr>
          <w:rFonts w:ascii="Calibri;sans-serif" w:hAnsi="Calibri;sans-serif"/>
          <w:color w:val="000000"/>
          <w:sz w:val="20"/>
        </w:rPr>
        <w:t>and prior as a result of applicable statute of limitations of the Internal Revenue Service and a majority of applicable state jurisdictions. The Company is currently not subject to examination in its foreign jurisdictions for the tax years 2018</w:t>
      </w:r>
      <w:r>
        <w:rPr>
          <w:rFonts w:ascii="Times New Roman" w:hAnsi="Times New Roman"/>
          <w:color w:val="000000"/>
          <w:sz w:val="20"/>
        </w:rPr>
        <w:t xml:space="preserve"> </w:t>
      </w:r>
      <w:r>
        <w:rPr>
          <w:rFonts w:ascii="Calibri;sans-serif" w:hAnsi="Calibri;sans-serif"/>
          <w:color w:val="000000"/>
          <w:sz w:val="20"/>
        </w:rPr>
        <w:t>and prior.</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13. Segment and Geographic Information</w:t>
      </w:r>
    </w:p>
    <w:p>
      <w:pPr>
        <w:pStyle w:val="TextBody"/>
        <w:bidi w:val="0"/>
        <w:spacing w:before="240" w:after="283"/>
        <w:jc w:val="both"/>
        <w:rPr>
          <w:rFonts w:ascii="Times New Roman" w:hAnsi="Times New Roman"/>
          <w:sz w:val="20"/>
        </w:rPr>
      </w:pPr>
      <w:r>
        <w:rPr>
          <w:rFonts w:ascii="Calibri;sans-serif" w:hAnsi="Calibri;sans-serif"/>
          <w:color w:val="000000"/>
          <w:sz w:val="20"/>
        </w:rPr>
        <w:t>The Company has two</w:t>
      </w:r>
      <w:r>
        <w:rPr>
          <w:rFonts w:ascii="Times New Roman" w:hAnsi="Times New Roman"/>
          <w:color w:val="000000"/>
          <w:sz w:val="20"/>
        </w:rPr>
        <w:t xml:space="preserve"> </w:t>
      </w:r>
      <w:r>
        <w:rPr>
          <w:rFonts w:ascii="Calibri;sans-serif" w:hAnsi="Calibri;sans-serif"/>
          <w:color w:val="000000"/>
          <w:sz w:val="20"/>
        </w:rPr>
        <w:t>reportable segments, U.S. Marketplace and Digital Wholesale. Segment information is presented in the same manner as the Company’s CODM reviews the Company’s operating results in assessing performance and allocating resources. The CODM reviews segment revenue and segment operating income (loss) as a proxy for the performance of the Company's operations. The Company’s Chief Executive Officer is the CODM on behalf of both reportable segments.</w:t>
      </w:r>
    </w:p>
    <w:p>
      <w:pPr>
        <w:pStyle w:val="TextBody"/>
        <w:bidi w:val="0"/>
        <w:spacing w:before="240" w:after="283"/>
        <w:jc w:val="both"/>
        <w:rPr>
          <w:rFonts w:ascii="Times New Roman" w:hAnsi="Times New Roman"/>
          <w:sz w:val="20"/>
        </w:rPr>
      </w:pPr>
      <w:r>
        <w:rPr>
          <w:rFonts w:ascii="Calibri;sans-serif" w:hAnsi="Calibri;sans-serif"/>
          <w:color w:val="000000"/>
          <w:sz w:val="20"/>
        </w:rPr>
        <w:t>The U.S. Marketplace segment derives revenue from marketplace services from customers within the U.S. The Digital Wholesale segment derives revenue from Dealer-to-Dealer and IMCO services and products which are sold on the CarOffer platform. The Company also has two operating segments which are individually immaterial and therefore aggregated into the Other category to reconcile reportable segments to the Unaudited Condensed Consolidated Income Statements. The Other category derives revenue from marketplace services from customers outside of the U.S.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Revenue and costs discretely incurred by reportable segments, including depreciation and amortization, are included in the calculation of reportable segment income (loss) from operations. For the three and six months ended June 30, 2023, Digital Wholesale segment (loss) from operations also reflects certain IMCO marketing and lead generation fees allocated from the U.S. Marketplace segment. Asset information by reportable segment is not provided to the CODM as asset information is assessed and reviewed on a consolidated basis.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segment revenue, segment income (loss) from operations, and segment depreciation and amortization are as follows:</w:t>
      </w:r>
    </w:p>
    <w:p>
      <w:pPr>
        <w:pStyle w:val="TextBody"/>
        <w:bidi w:val="0"/>
        <w:jc w:val="both"/>
        <w:rPr/>
      </w:pPr>
      <w:r>
        <w:rPr/>
        <w:t> </w:t>
      </w:r>
    </w:p>
    <w:tbl>
      <w:tblPr>
        <w:tblW w:w="9267" w:type="dxa"/>
        <w:jc w:val="left"/>
        <w:tblInd w:w="0" w:type="dxa"/>
        <w:tblLayout w:type="fixed"/>
        <w:tblCellMar>
          <w:top w:w="28" w:type="dxa"/>
          <w:left w:w="28" w:type="dxa"/>
          <w:bottom w:w="28" w:type="dxa"/>
          <w:right w:w="28" w:type="dxa"/>
        </w:tblCellMar>
      </w:tblPr>
      <w:tblGrid>
        <w:gridCol w:w="1686"/>
        <w:gridCol w:w="546"/>
        <w:gridCol w:w="211"/>
        <w:gridCol w:w="781"/>
        <w:gridCol w:w="546"/>
        <w:gridCol w:w="546"/>
        <w:gridCol w:w="211"/>
        <w:gridCol w:w="781"/>
        <w:gridCol w:w="546"/>
        <w:gridCol w:w="546"/>
        <w:gridCol w:w="211"/>
        <w:gridCol w:w="781"/>
        <w:gridCol w:w="146"/>
        <w:gridCol w:w="146"/>
        <w:gridCol w:w="211"/>
        <w:gridCol w:w="781"/>
        <w:gridCol w:w="591"/>
      </w:tblGrid>
      <w:tr>
        <w:trPr/>
        <w:tc>
          <w:tcPr>
            <w:tcW w:w="16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Segment Revenue:</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U.S. Marketplace</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180,052</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158,443</w:t>
            </w:r>
          </w:p>
        </w:tc>
        <w:tc>
          <w:tcPr>
            <w:tcW w:w="546" w:type="dxa"/>
            <w:tcBorders/>
            <w:shd w:fill="FFFFFF" w:val="cle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353,040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314,064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6"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Digital Wholesale</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23,525</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68,787</w:t>
            </w:r>
          </w:p>
        </w:tc>
        <w:tc>
          <w:tcPr>
            <w:tcW w:w="546" w:type="dxa"/>
            <w:tcBorders/>
            <w:shd w:fill="CFF0FC" w:val="clear"/>
            <w:vAlign w:val="center"/>
          </w:tcPr>
          <w:p>
            <w:pPr>
              <w:pStyle w:val="TableContents"/>
              <w:bidi w:val="0"/>
              <w:spacing w:before="0" w:after="283"/>
              <w:ind w:left="0" w:right="0" w:firstLine="200"/>
              <w:jc w:val="left"/>
              <w:rPr/>
            </w:pPr>
            <w:r>
              <w:rPr/>
              <w:t> </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133,623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Other</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15,115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12,507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24,013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6" w:type="dxa"/>
            <w:tcBorders/>
            <w:shd w:fill="CFF0FC"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Total</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218,692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239,737</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471,700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947" w:type="dxa"/>
        <w:jc w:val="left"/>
        <w:tblInd w:w="0" w:type="dxa"/>
        <w:tblLayout w:type="fixed"/>
        <w:tblCellMar>
          <w:top w:w="28" w:type="dxa"/>
          <w:left w:w="28" w:type="dxa"/>
          <w:bottom w:w="28" w:type="dxa"/>
          <w:right w:w="28" w:type="dxa"/>
        </w:tblCellMar>
      </w:tblPr>
      <w:tblGrid>
        <w:gridCol w:w="3316"/>
        <w:gridCol w:w="146"/>
        <w:gridCol w:w="211"/>
        <w:gridCol w:w="841"/>
        <w:gridCol w:w="166"/>
        <w:gridCol w:w="146"/>
        <w:gridCol w:w="211"/>
        <w:gridCol w:w="676"/>
        <w:gridCol w:w="166"/>
        <w:gridCol w:w="146"/>
        <w:gridCol w:w="211"/>
        <w:gridCol w:w="841"/>
        <w:gridCol w:w="166"/>
        <w:gridCol w:w="146"/>
        <w:gridCol w:w="211"/>
        <w:gridCol w:w="736"/>
        <w:gridCol w:w="61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1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24,619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51,158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(138,158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(6,307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(148,498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(17,532</w:t>
            </w:r>
          </w:p>
        </w:tc>
        <w:tc>
          <w:tcPr>
            <w:tcW w:w="61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31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331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402" w:type="dxa"/>
        <w:jc w:val="left"/>
        <w:tblInd w:w="0" w:type="dxa"/>
        <w:tblLayout w:type="fixed"/>
        <w:tblCellMar>
          <w:top w:w="28" w:type="dxa"/>
          <w:left w:w="28" w:type="dxa"/>
          <w:bottom w:w="28" w:type="dxa"/>
          <w:right w:w="28" w:type="dxa"/>
        </w:tblCellMar>
      </w:tblPr>
      <w:tblGrid>
        <w:gridCol w:w="3346"/>
        <w:gridCol w:w="146"/>
        <w:gridCol w:w="211"/>
        <w:gridCol w:w="571"/>
        <w:gridCol w:w="146"/>
        <w:gridCol w:w="146"/>
        <w:gridCol w:w="211"/>
        <w:gridCol w:w="676"/>
        <w:gridCol w:w="146"/>
        <w:gridCol w:w="146"/>
        <w:gridCol w:w="211"/>
        <w:gridCol w:w="676"/>
        <w:gridCol w:w="146"/>
        <w:gridCol w:w="146"/>
        <w:gridCol w:w="211"/>
        <w:gridCol w:w="676"/>
        <w:gridCol w:w="5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Segment Depreciation and Amortization:</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5,563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17,394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2024 and 2023 and for the six months ended June 30, 2024 and 2023, a reconciliation between total segment (loss) income from operations to consolidated (loss) income before income taxes is as follows:</w:t>
      </w:r>
      <w:r>
        <w:rPr>
          <w:rFonts w:ascii="Times New Roman" w:hAnsi="Times New Roman"/>
          <w:color w:val="000000"/>
          <w:sz w:val="20"/>
        </w:rPr>
        <w:t xml:space="preserve"> </w:t>
      </w:r>
    </w:p>
    <w:p>
      <w:pPr>
        <w:pStyle w:val="TextBody"/>
        <w:bidi w:val="0"/>
        <w:jc w:val="both"/>
        <w:rPr/>
      </w:pPr>
      <w:r>
        <w:rPr/>
        <w:t> </w:t>
      </w:r>
    </w:p>
    <w:tbl>
      <w:tblPr>
        <w:tblW w:w="8792" w:type="dxa"/>
        <w:jc w:val="left"/>
        <w:tblInd w:w="0" w:type="dxa"/>
        <w:tblLayout w:type="fixed"/>
        <w:tblCellMar>
          <w:top w:w="28" w:type="dxa"/>
          <w:left w:w="28" w:type="dxa"/>
          <w:bottom w:w="28" w:type="dxa"/>
          <w:right w:w="28" w:type="dxa"/>
        </w:tblCellMar>
      </w:tblPr>
      <w:tblGrid>
        <w:gridCol w:w="3871"/>
        <w:gridCol w:w="146"/>
        <w:gridCol w:w="211"/>
        <w:gridCol w:w="736"/>
        <w:gridCol w:w="166"/>
        <w:gridCol w:w="146"/>
        <w:gridCol w:w="211"/>
        <w:gridCol w:w="676"/>
        <w:gridCol w:w="146"/>
        <w:gridCol w:w="146"/>
        <w:gridCol w:w="211"/>
        <w:gridCol w:w="736"/>
        <w:gridCol w:w="166"/>
        <w:gridCol w:w="146"/>
        <w:gridCol w:w="211"/>
        <w:gridCol w:w="67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segment (loss) 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(93,584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(67,300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31,797</w:t>
            </w:r>
          </w:p>
        </w:tc>
        <w:tc>
          <w:tcPr>
            <w:tcW w:w="19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(loss) 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(90,423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40,815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and December 31, 2023, segment assets are as follows:</w:t>
      </w:r>
    </w:p>
    <w:p>
      <w:pPr>
        <w:pStyle w:val="TextBody"/>
        <w:bidi w:val="0"/>
        <w:jc w:val="both"/>
        <w:rPr/>
      </w:pPr>
      <w:r>
        <w:rPr/>
        <w:t> </w:t>
      </w:r>
    </w:p>
    <w:tbl>
      <w:tblPr>
        <w:tblW w:w="4802" w:type="dxa"/>
        <w:jc w:val="left"/>
        <w:tblInd w:w="0" w:type="dxa"/>
        <w:tblLayout w:type="fixed"/>
        <w:tblCellMar>
          <w:top w:w="28" w:type="dxa"/>
          <w:left w:w="28" w:type="dxa"/>
          <w:bottom w:w="28" w:type="dxa"/>
          <w:right w:w="28" w:type="dxa"/>
        </w:tblCellMar>
      </w:tblPr>
      <w:tblGrid>
        <w:gridCol w:w="1686"/>
        <w:gridCol w:w="146"/>
        <w:gridCol w:w="211"/>
        <w:gridCol w:w="781"/>
        <w:gridCol w:w="146"/>
        <w:gridCol w:w="146"/>
        <w:gridCol w:w="233"/>
        <w:gridCol w:w="862"/>
        <w:gridCol w:w="591"/>
      </w:tblGrid>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w:t>
              <w:br/>
              <w:t>December 31,</w:t>
              <w:b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Segment 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16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575,121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607,307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16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258,458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16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53,162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8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753,331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918,927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Digital Wholesale segment assets decreased $121,013, primarily due to the goodwill and other long-lived asset impairment associated with the CarOffer reporting unit of $127,475, due to the recent organizational changes and Transaction volume declines, which resulted in revisions to the Company’s financial projections for the CarOffer reporting unit. For further discussion of impairments related to right-of-use assets, intangible assets, and goodwill, refer to Note 6 of the Unaudited Condensed Consolidated Financial Statements.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20"/>
        </w:rPr>
        <w:t>For the three months ended June 30, 2024 and 2023 and for the six months ended June 30, 2024 and 2023, revenue by geographical region is as follows:</w:t>
      </w:r>
      <w:r>
        <w:rPr>
          <w:rFonts w:ascii="Times New Roman" w:hAnsi="Times New Roman"/>
          <w:color w:val="000000"/>
          <w:sz w:val="20"/>
        </w:rPr>
        <w:t xml:space="preserve"> </w:t>
      </w:r>
    </w:p>
    <w:p>
      <w:pPr>
        <w:pStyle w:val="TextBody"/>
        <w:bidi w:val="0"/>
        <w:jc w:val="both"/>
        <w:rPr/>
      </w:pPr>
      <w:r>
        <w:rPr/>
        <w:t> </w:t>
      </w:r>
    </w:p>
    <w:tbl>
      <w:tblPr>
        <w:tblW w:w="8222"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11"/>
        <w:gridCol w:w="781"/>
        <w:gridCol w:w="146"/>
        <w:gridCol w:w="146"/>
        <w:gridCol w:w="211"/>
        <w:gridCol w:w="781"/>
        <w:gridCol w:w="146"/>
        <w:gridCol w:w="146"/>
        <w:gridCol w:w="211"/>
        <w:gridCol w:w="781"/>
        <w:gridCol w:w="5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Revenue by Geographic Region: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64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203,577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227,230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405,142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447,687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64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24,013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41"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471,700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0" w:name="i_item2"/>
      <w:bookmarkEnd w:id="10"/>
      <w:r>
        <w:rPr>
          <w:rFonts w:ascii="Calibri;sans-serif" w:hAnsi="Calibri;sans-serif"/>
          <w:b/>
          <w:color w:val="000000"/>
          <w:sz w:val="20"/>
        </w:rPr>
        <w:t xml:space="preserve">Item 2. Management’s Discussion and Analysis of </w:t>
      </w:r>
      <w:bookmarkStart w:id="11" w:name="item_2_managements_discussion_analysis_f"/>
      <w:bookmarkEnd w:id="11"/>
      <w:r>
        <w:rPr>
          <w:rFonts w:ascii="Calibri;sans-serif" w:hAnsi="Calibri;sans-serif"/>
          <w:b/>
          <w:color w:val="000000"/>
          <w:sz w:val="20"/>
        </w:rPr>
        <w:t>Financial Condition and Results of Operations.</w:t>
      </w:r>
    </w:p>
    <w:p>
      <w:pPr>
        <w:pStyle w:val="TextBody"/>
        <w:bidi w:val="0"/>
        <w:spacing w:before="240" w:after="283"/>
        <w:jc w:val="both"/>
        <w:rPr>
          <w:rFonts w:ascii="Times New Roman" w:hAnsi="Times New Roman"/>
          <w:sz w:val="20"/>
        </w:rPr>
      </w:pPr>
      <w:r>
        <w:rPr>
          <w:rFonts w:ascii="Calibri;sans-serif" w:hAnsi="Calibri;sans-serif"/>
          <w:i/>
          <w:color w:val="000000"/>
          <w:sz w:val="20"/>
        </w:rPr>
        <w:t>You should read the following discussion and analysis of our financial condition and results of operations together with our unaudited interim condensed consolidated financial statements, or the Unaudited Condensed Consolidated Financial Statements, and the related notes thereto, included elsewhere in this Quarterly Report, and our consolidated financial statements and the related notes and other financial information included in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For a discussion of important factors that could cause actual results to differ materially from the results described in or implied by the forward-looking statements contained in the following discussion and analysis you should review our Annual Report, including those cautionary statements set forth under Part I, Item 1A “Risk Factors,” and in Part II, Item 1A, “Risk Factors,” of this Quarterly Report. We qualify all of our forward-looking statements by such cautionary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i/>
          <w:color w:val="000000"/>
          <w:sz w:val="20"/>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or U.S., generally accepted accounting principles, or GAAP.</w:t>
      </w:r>
      <w:r>
        <w:rPr>
          <w:rFonts w:ascii="Times New Roman" w:hAnsi="Times New Roman"/>
          <w:color w:val="000000"/>
          <w:sz w:val="20"/>
        </w:rPr>
        <w:t xml:space="preserve">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This section of this Quarterly Report discusses 2024 and 2023 items and period-to-period comparisons between 2024 and 2023. The period</w:t>
        <w:noBreakHyphen/>
        <w:t>to</w:t>
        <w:noBreakHyphen/>
        <w:t>period comparison of financial results is not necessarily indicative of future results.</w:t>
      </w:r>
    </w:p>
    <w:p>
      <w:pPr>
        <w:pStyle w:val="TextBody"/>
        <w:bidi w:val="0"/>
        <w:spacing w:before="240" w:after="283"/>
        <w:jc w:val="both"/>
        <w:rPr>
          <w:rFonts w:ascii="Times New Roman" w:hAnsi="Times New Roman"/>
          <w:sz w:val="20"/>
        </w:rPr>
      </w:pPr>
      <w:r>
        <w:rPr>
          <w:rFonts w:ascii="Calibri;sans-serif" w:hAnsi="Calibri;sans-serif"/>
          <w:b/>
          <w:color w:val="000000"/>
          <w:sz w:val="20"/>
        </w:rPr>
        <w:t>Company Overview</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CarGurus, Inc. is a multinational, online automotive platform for buying and selling vehicles that is building upon its industry-leading listings marketplace with both digital retail solutions and the CarOffer online wholesale platform. The CarGurus platform gives consumers the confidence to purchase and/or sell a vehicle either online or in person, and it gives dealerships the power to accurately price, effectively market, instantly acquire, and quickly sell vehicles, all with a nationwide reach. We use proprietary technology, search algorithms, and data analytics to bring trust, transparency, and competitive pricing to the automotive shopping experience.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operate principally in the U.S. In the U.S., we also operate as independent brands the Autolist online marketplace and the CarOffer online wholesale platform. In addition to the U.S., we operate online marketplaces under the CarGurus brand in Canada and the United Kingdom, or U.K. In the U.K., we also operate as an independent brand the PistonHeads online marketplace.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have subsidiaries in the U.S., Canada, Ireland, and the U.K. and we have two reportable segments, U.S. Marketplace and Digital Wholesale. See Note 13 of the Unaudited Condensed Consolidated Financial Statements included elsewhere in this Quarterly Report for further segment reporting and geographic information.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and Real-time Performance Marketing, or RPM, digital advertising suite, Digital Retail, and Sell My Car - Top Dealer Offers, or TDO, (ii) advertising revenue from auto manufacturers and other auto-related brand advertisers, and (iii) revenue from partnerships with financing services companies. We generate wholesale revenue primarily from (x) transaction fees earned from the purchase and sale of vehicles between dealers, or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(as defined below). We generate product revenue primarily from (A) aggregate proceeds received from the sale of vehicles to dealers that were acquired directly from customers, or Sell My Car - Instant Max Cash Offer, or IMCO transactions, and (B) proceeds received from the sale of vehicles that were acquired through arbitration.</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2024, we generated revenue of $218.7 million, a 9% decrease from $239.7 million of revenue for the three months ended June 30, 2023. For the three months ended June 30, 2024, we generated consolidated net loss of $68.7 million and Consolidated Adjusted EBITDA of $55.6 million, compared to consolidated net income of $13.8 million and Consolidated Adjusted EBITDA of $45.2 million for the three months ended June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For the six months ended June 30, 2024, we generated revenue of $434.5 million, an 8% decrease from $471.7 million of revenue for the six months ended June 30, 2023. For the six months ended June 30, 2024, we generated consolidated net loss of $47.4 million and Consolidated Adjusted EBITDA of $106.0 million, compared to consolidated net income of $25.7 million and Consolidated Adjusted EBITDA of $86.0 million for the six months ended June 30,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See below for more information regarding our use and reconciliation of these non-GAAP financial measures.</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Key Business Metrics</w:t>
      </w:r>
    </w:p>
    <w:p>
      <w:pPr>
        <w:pStyle w:val="TextBody"/>
        <w:bidi w:val="0"/>
        <w:spacing w:before="240" w:after="283"/>
        <w:jc w:val="both"/>
        <w:rPr>
          <w:rFonts w:ascii="Times New Roman" w:hAnsi="Times New Roman"/>
          <w:sz w:val="20"/>
        </w:rPr>
      </w:pPr>
      <w:r>
        <w:rPr>
          <w:rFonts w:ascii="Calibri;sans-serif" w:hAnsi="Calibri;sans-serif"/>
          <w:color w:val="000000"/>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U.S. and International geographic regions. The International region derives revenue from marketplace revenue from customers outside of the U.S. International markets perform differently from the U.S. market due to a variety of factors, including our operating history in each market, our rate of investment, market size, market maturity, competition, and other dynamics unique to each country.</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Monthly Unique Users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each of our websites (excluding the CarOffer website), we define a monthly unique user as an individual who has visited any such website within a calendar month, based on data as measured by Google Analytics. We calculate average monthly unique users as the sum of the monthly unique users of each of our websites in a given period, divided by the number of months in that period. We count a unique user the first time a computer or mobile device with a unique device identifier accesses any of our websites during a calendar month. If an individual accesses a website using a different device within a given month, the first access by each such device is counted as a separate unique user. If an individual uses multiple browsers on a single device and/or clears their cookies and returns to our website within a calendar month, each such visit is counted as a separate unique user.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pStyle w:val="TextBody"/>
        <w:bidi w:val="0"/>
        <w:jc w:val="both"/>
        <w:rPr/>
      </w:pPr>
      <w:r>
        <w:rPr/>
        <w:t> </w:t>
      </w:r>
    </w:p>
    <w:tbl>
      <w:tblPr>
        <w:tblW w:w="6967" w:type="dxa"/>
        <w:jc w:val="left"/>
        <w:tblInd w:w="0" w:type="dxa"/>
        <w:tblLayout w:type="fixed"/>
        <w:tblCellMar>
          <w:top w:w="28" w:type="dxa"/>
          <w:left w:w="28" w:type="dxa"/>
          <w:bottom w:w="28" w:type="dxa"/>
          <w:right w:w="28" w:type="dxa"/>
        </w:tblCellMar>
      </w:tblPr>
      <w:tblGrid>
        <w:gridCol w:w="2266"/>
        <w:gridCol w:w="146"/>
        <w:gridCol w:w="146"/>
        <w:gridCol w:w="676"/>
        <w:gridCol w:w="146"/>
        <w:gridCol w:w="146"/>
        <w:gridCol w:w="146"/>
        <w:gridCol w:w="676"/>
        <w:gridCol w:w="146"/>
        <w:gridCol w:w="146"/>
        <w:gridCol w:w="146"/>
        <w:gridCol w:w="676"/>
        <w:gridCol w:w="146"/>
        <w:gridCol w:w="146"/>
        <w:gridCol w:w="146"/>
        <w:gridCol w:w="676"/>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Average Monthly Unique Users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31,947</w:t>
            </w:r>
          </w:p>
        </w:tc>
        <w:tc>
          <w:tcPr>
            <w:tcW w:w="3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7,285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39,154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40,864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39,232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Monthly Sessions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monthly sessions as the number of distinct visits to our websites (excluding the CarOffer website)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U.S. and Canada websites, other than the Autolist website, (ii) Pacific Time for the Autolist website, and (iii) Greenwich Mean Time for our U.K. websites. A session can be made up of multiple page views and visitor actions, such as performing a search, visiting vehicle detail pages, and connecting with a dealer.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jc w:val="both"/>
        <w:rPr/>
      </w:pPr>
      <w:r>
        <w:rPr/>
        <w:t> </w:t>
      </w:r>
    </w:p>
    <w:tbl>
      <w:tblPr>
        <w:tblW w:w="7042" w:type="dxa"/>
        <w:jc w:val="left"/>
        <w:tblInd w:w="0" w:type="dxa"/>
        <w:tblLayout w:type="fixed"/>
        <w:tblCellMar>
          <w:top w:w="28" w:type="dxa"/>
          <w:left w:w="28" w:type="dxa"/>
          <w:bottom w:w="28" w:type="dxa"/>
          <w:right w:w="28" w:type="dxa"/>
        </w:tblCellMar>
      </w:tblPr>
      <w:tblGrid>
        <w:gridCol w:w="1921"/>
        <w:gridCol w:w="146"/>
        <w:gridCol w:w="146"/>
        <w:gridCol w:w="781"/>
        <w:gridCol w:w="146"/>
        <w:gridCol w:w="146"/>
        <w:gridCol w:w="146"/>
        <w:gridCol w:w="781"/>
        <w:gridCol w:w="146"/>
        <w:gridCol w:w="146"/>
        <w:gridCol w:w="146"/>
        <w:gridCol w:w="781"/>
        <w:gridCol w:w="146"/>
        <w:gridCol w:w="146"/>
        <w:gridCol w:w="146"/>
        <w:gridCol w:w="781"/>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Average Monthly Sessions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4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84,355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84,314</w:t>
            </w:r>
          </w:p>
        </w:tc>
        <w:tc>
          <w:tcPr>
            <w:tcW w:w="391" w:type="dxa"/>
            <w:tcBorders/>
            <w:shd w:fill="CFF0FC" w:val="clear"/>
            <w:vAlign w:val="center"/>
          </w:tcPr>
          <w:p>
            <w:pPr>
              <w:pStyle w:val="TableContents"/>
              <w:bidi w:val="0"/>
              <w:spacing w:before="0" w:after="283"/>
              <w:jc w:val="left"/>
              <w:rPr/>
            </w:pPr>
            <w:r>
              <w:rPr/>
              <w:t> </w:t>
            </w:r>
          </w:p>
        </w:tc>
      </w:tr>
      <w:tr>
        <w:trPr/>
        <w:tc>
          <w:tcPr>
            <w:tcW w:w="1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16,904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101,492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101,218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Calibri;sans-serif" w:hAnsi="Calibri;sans-serif"/>
          <w:b/>
          <w:i/>
          <w:color w:val="000000"/>
          <w:sz w:val="20"/>
        </w:rPr>
        <w:t>Number of Paying Dealers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pStyle w:val="TextBody"/>
        <w:bidi w:val="0"/>
        <w:jc w:val="both"/>
        <w:rPr/>
      </w:pPr>
      <w:r>
        <w:rPr/>
        <w:t> </w:t>
      </w:r>
    </w:p>
    <w:tbl>
      <w:tblPr>
        <w:tblW w:w="4364" w:type="dxa"/>
        <w:jc w:val="left"/>
        <w:tblInd w:w="0" w:type="dxa"/>
        <w:tblLayout w:type="fixed"/>
        <w:tblCellMar>
          <w:top w:w="28" w:type="dxa"/>
          <w:left w:w="28" w:type="dxa"/>
          <w:bottom w:w="28" w:type="dxa"/>
          <w:right w:w="28" w:type="dxa"/>
        </w:tblCellMar>
      </w:tblPr>
      <w:tblGrid>
        <w:gridCol w:w="1891"/>
        <w:gridCol w:w="146"/>
        <w:gridCol w:w="146"/>
        <w:gridCol w:w="676"/>
        <w:gridCol w:w="146"/>
        <w:gridCol w:w="146"/>
        <w:gridCol w:w="146"/>
        <w:gridCol w:w="676"/>
        <w:gridCol w:w="3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Number of Paying Dealers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8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24,220</w:t>
            </w:r>
          </w:p>
        </w:tc>
        <w:tc>
          <w:tcPr>
            <w:tcW w:w="391" w:type="dxa"/>
            <w:tcBorders/>
            <w:shd w:fill="CFF0FC"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Transactions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Transactions within the Digital Wholesale segment as the number of vehicles processed from car dealers, consumers, and other marketplaces through the CarOffer website within the applicable period. Transactions consists of each unique vehicle (based on vehicle identification number) that reaches "sold and invoiced" status on the CarOffer website within the applicable period, including vehicles sold to car dealers, vehicles sold at third-party auctions, vehicles ultimately sold to a different buyer, and vehicles that are returned to their owners without completion of a sale transaction. We exclude vehicles processed within CarOffer's intra-group trading solution (Group Trade) from the definition of Transactions, and we only count any unique vehicle once even if it reaches sold status multiple times. Digital Wholesale includes Dealer-to-Dealer transactions and IMCO transactions. We view Transactions as a key business metric, and we believe it provides useful information to investors, because it provides insight into growth and revenue for the Digital Wholesale segment. Transactions drive a significant portion of Digital Wholesale segment revenue. We believe growth in Transactions demonstrates consumer and dealer utilization and our market share penetration in the Digital Wholesale segment.</w:t>
      </w:r>
    </w:p>
    <w:p>
      <w:pPr>
        <w:pStyle w:val="TextBody"/>
        <w:bidi w:val="0"/>
        <w:jc w:val="both"/>
        <w:rPr/>
      </w:pPr>
      <w:r>
        <w:rPr/>
        <w:t> </w:t>
      </w:r>
    </w:p>
    <w:tbl>
      <w:tblPr>
        <w:tblW w:w="5507" w:type="dxa"/>
        <w:jc w:val="left"/>
        <w:tblInd w:w="0" w:type="dxa"/>
        <w:tblLayout w:type="fixed"/>
        <w:tblCellMar>
          <w:top w:w="28" w:type="dxa"/>
          <w:left w:w="28" w:type="dxa"/>
          <w:bottom w:w="28" w:type="dxa"/>
          <w:right w:w="28" w:type="dxa"/>
        </w:tblCellMar>
      </w:tblPr>
      <w:tblGrid>
        <w:gridCol w:w="1111"/>
        <w:gridCol w:w="146"/>
        <w:gridCol w:w="146"/>
        <w:gridCol w:w="571"/>
        <w:gridCol w:w="146"/>
        <w:gridCol w:w="146"/>
        <w:gridCol w:w="146"/>
        <w:gridCol w:w="676"/>
        <w:gridCol w:w="146"/>
        <w:gridCol w:w="146"/>
        <w:gridCol w:w="146"/>
        <w:gridCol w:w="676"/>
        <w:gridCol w:w="146"/>
        <w:gridCol w:w="146"/>
        <w:gridCol w:w="146"/>
        <w:gridCol w:w="676"/>
        <w:gridCol w:w="1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Transactions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19,080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38,298</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Quarterly Average Revenue per Subscribing Dealer (QARSD)</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QARSD, which is measured at the end of a fiscal quarter, as the marketplace revenue primarily from subscriptions to our Listings packages and RPM, our digital advertising suite, and other digital add-on products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spacing w:before="240" w:after="283"/>
        <w:jc w:val="both"/>
        <w:rPr/>
      </w:pPr>
      <w:r>
        <w:rPr/>
        <w:t> </w:t>
      </w:r>
    </w:p>
    <w:tbl>
      <w:tblPr>
        <w:tblW w:w="6439" w:type="dxa"/>
        <w:jc w:val="left"/>
        <w:tblInd w:w="0" w:type="dxa"/>
        <w:tblLayout w:type="fixed"/>
        <w:tblCellMar>
          <w:top w:w="28" w:type="dxa"/>
          <w:left w:w="28" w:type="dxa"/>
          <w:bottom w:w="28" w:type="dxa"/>
          <w:right w:w="28" w:type="dxa"/>
        </w:tblCellMar>
      </w:tblPr>
      <w:tblGrid>
        <w:gridCol w:w="4246"/>
        <w:gridCol w:w="146"/>
        <w:gridCol w:w="211"/>
        <w:gridCol w:w="571"/>
        <w:gridCol w:w="146"/>
        <w:gridCol w:w="146"/>
        <w:gridCol w:w="211"/>
        <w:gridCol w:w="57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Quarterly Average Revenue per Subscribing Dealer (QARSD)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6,110</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1,610</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5,116</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Consolidated Adjusted EBITDA, Adjusted EBITDA, and Adjusted EBITDA attributable to redeemable noncontrolling interest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To provide investors with additional information regarding our financial results, we have presented within this Quarterly Report Consolidated Adjusted EBITDA, Adjusted EBITDA, and Adjusted EBITDA attributable to redeemable noncontrolling interest, each of which is a non</w:t>
        <w:noBreakHyphen/>
        <w:t>GAAP financial measure. These non</w:t>
        <w:noBreakHyphen/>
        <w:t>GAAP financial measures are not based on any standardized methodology prescribed by GAAP, and are not necessarily comparable to any similarly titled measures presented by other companies.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Consolidated Adjusted EBITDA as consolidated net income, adjusted to exclude: depreciation and amortization, goodwill and other long-lived asset impairment, stock</w:t>
        <w:noBreakHyphen/>
        <w:t>based compensation expense, stock-based compensation expense for CarOffer, LLC Units (as defined below), transaction-related expenses, other income, net, and (benefit from) provision for income taxes.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Adjusted EBITDA as Consolidated Adjusted EBITDA adjusted to exclude: Adjusted EBITDA attributable to redeemable noncontrolling interest.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define Adjusted EBITDA attributable to redeemable noncontrolling interest as net loss attributable to redeemable noncontrolling interest, adjusted to exclude: depreciation and amortization, impairment of long-lived assets, stock</w:t>
        <w:noBreakHyphen/>
        <w:t>based compensation expense, stock-based compensation expense for CarOffer, LLC Units, other expense, net, and (benefit from) provision for income taxes. These exclusions are adjusted for redeemable noncontrolling interest of 38% by taking the noncontrolling interest's full financial results and multiplying each line item in the reconciliation by 38%. We note that we use 38%, versus 49%, to allocate the share of loss because it represents the portion attributable to the redeemable noncontrolling interest. The 38% is exclusive of CO Incentive Units, Subject Units, and 2021 Incentive Units (as each term is defined in Note 2 to our consolidated financial statements contained within our Annual Report), which are liability-classified awards that do not participate in the share of loss. Adjusted EBITDA attributable to redeemable noncontrolling interest is reflective of our acquisition of the remaining minority equity interests in CarOffer completed on December 1, 2023, or the 2023 CarOffer Transaction. Following the 2023 CarOffer Transaction there was no redeemable noncontrolling interest as of December 1, 2023, and as a result, Consolidated Adjusted EBITDA is equivalent to Adjusted EBITDA for the three and six months ended June 30,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have presented Consolidated Adjusted EBITDA and Adjusted EBITDA within this Quarterly Report because they are key measures used by our management and Board of Directors to understand and evaluate our operating performance, generate future operating plans, and make strategic decisions regarding the allocation of capital. In particular, we believe that the exclusion of certain items in calculating Consolidated Adjusted EBITDA and Adjusted EBITDA can produce a useful measure for period</w:t>
        <w:noBreakHyphen/>
        <w:t>to</w:t>
        <w:noBreakHyphen/>
        <w:t>period comparisons of our business. We have presented Adjusted EBITDA attributable to redeemable noncontrolling interest because it is used by our management to reconcile Consolidated Adjusted EBITDA to Adjusted EBITDA. It represents the portion of Consolidated Adjusted EBITDA that is attributable to our redeemable noncontrolling interest. Adjusted EBITDA attributable to redeemable noncontrolling interest is not intended to be reviewed on its own.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use Consolidated Adjusted EBITDA and Adjusted EBITDA to evaluate our operating performance and trends and make planning decisions. We believe Consolidated Adjusted EBITDA and Adjusted EBITDA help identify underlying trends in our business that could otherwise be masked by the effect of the expenses that we exclude. Accordingly, we believe that Consolidated Adjusted EBITDA and Adjusted EBITDA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 We use Adjusted EBITDA attributable to redeemable noncontrolling interest to reconcile Consolidated Adjusted EBITDA to Adjusted EBITDA. It enables an investor to gain a clearer understanding of the portion of Consolidated Adjusted EBITDA that is attributable to our redeemable noncontrolling interest.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Our Consolidated Adjusted EBITDA, Adjusted EBITDA, and Adjusted EBITDA attributable to redeemable noncontrolling interest are not prepared in accordance with GAAP, and should not be considered in isolation of, or as an alternative to, measures prepared in accordance with GAAP. There are a number of limitations related to the use of Consolidated Adjusted EBITDA, Adjusted EBITDA, and Adjusted EBITDA attributable to redeemable noncontrolling interest rather than consolidated net income and net loss attributable to redeemable noncontrolling interest, respectively, which are the most directly comparable GAAP equivalents. Some of these limitations are: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depreciation and amortization expense and, although these are non</w:t>
        <w:noBreakHyphen/>
        <w:t>cash expenses, the assets being depreciated may have to be replaced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goodwill and other long-lived asset impairment, which include non-cash one-time expenses associated with the impairment of the CarOffer reporting unit as well as other long-lived asset impairments, certain of which may have to be replaced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stock</w:t>
        <w:noBreakHyphen/>
        <w:t>based compensation expense, which will be, for the foreseeable future, a significant recurring expense for our business and an important part of our compensation strategy;</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stock</w:t>
        <w:noBreakHyphen/>
        <w:t>based compensation expense for CarOffer, LLC Units, which consists of one-time modifications and expense associated with our CO Incentive Units and Subject Units, as defined in Note 2 to the consolidated financial statements contained within our Annual Report, and Noncontrolling Interest Units, as defined in Note 4 to the consolidated financial statements contained within our Annual Report;</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and Adjusted EBITDA exclude transaction-related expenses incurred by us during a reporting period, which are inclusive of certain transaction and integration costs associated with the 2023 CarOffer Transaction and which may not be reflective of our operational performance during such period, for acquisitions that have been completed as of the filing date of our annual or quarterly report (as applicable) relating to such period;</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Consolidated Adjusted EBITDA, Adjusted EBITDA, and Adjusted EBITDA attributable to redeemable noncontrolling interest exclude other income, net, which consists primarily of interest income earned on our cash, cash equivalents, and short-term investments, and foreign exchange gains and losses;</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 xml:space="preserve">Consolidated Adjusted EBITDA, Adjusted EBITDA, and Adjusted EBITDA attributable to redeemable noncontrolling interest exclude the (benefit from) provision for income taxes; </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Adjusted EBITDA excludes Adjusted EBITDA attributable to redeemable noncontrolling interest, which is calculated as the net loss attributable to redeemable noncontrolling interest, adjusted for all exclusions used to calculate Consolidated Adjusted EBITDA as described above; and</w:t>
      </w:r>
    </w:p>
    <w:p>
      <w:pPr>
        <w:pStyle w:val="TextBody"/>
        <w:bidi w:val="0"/>
        <w:spacing w:before="240" w:after="283"/>
        <w:jc w:val="both"/>
        <w:rPr>
          <w:color w:val="000000"/>
        </w:rPr>
      </w:pPr>
      <w:r>
        <w:rPr>
          <w:color w:val="000000"/>
        </w:rPr>
        <w: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other companies, including companies in our industry, may calculate Consolidated Adjusted EBITDA, Adjusted EBITDA, and Adjusted EBITDA attributable to redeemable noncontrolling interest differently, which reduces their usefulness as a comparative measure.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Because of these limitations, we consider, and you should consider, Consolidated Adjusted EBITDA, Adjusted EBITDA, and Adjusted EBITDA attributable to redeemable noncontrolling interest together with other operating and financial performance measures presented in accordance with GAAP.</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the following table presents a reconciliation of Consolidated Adjusted EBITDA and Adjusted EBITDA to consolidated net (loss) income, the most directly comparable measure calculated in accordance with GAAP for each of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54"/>
        <w:gridCol w:w="146"/>
        <w:gridCol w:w="211"/>
        <w:gridCol w:w="781"/>
        <w:gridCol w:w="166"/>
        <w:gridCol w:w="146"/>
        <w:gridCol w:w="211"/>
        <w:gridCol w:w="676"/>
        <w:gridCol w:w="166"/>
        <w:gridCol w:w="146"/>
        <w:gridCol w:w="211"/>
        <w:gridCol w:w="781"/>
        <w:gridCol w:w="166"/>
        <w:gridCol w:w="146"/>
        <w:gridCol w:w="211"/>
        <w:gridCol w:w="676"/>
        <w:gridCol w:w="211"/>
      </w:tblGrid>
      <w:tr>
        <w:trPr/>
        <w:tc>
          <w:tcPr>
            <w:tcW w:w="5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1"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191"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Reconciliation of Consolidated Adjusted EBITDA and Adjusted EBITDA:</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25,683</w:t>
            </w:r>
          </w:p>
        </w:tc>
        <w:tc>
          <w:tcPr>
            <w:tcW w:w="211" w:type="dxa"/>
            <w:tcBorders/>
            <w:shd w:fill="FFFFFF" w:val="clear"/>
            <w:vAlign w:val="center"/>
          </w:tcPr>
          <w:p>
            <w:pPr>
              <w:pStyle w:val="TableContents"/>
              <w:bidi w:val="0"/>
              <w:spacing w:before="0" w:after="283"/>
              <w:jc w:val="left"/>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23,243</w:t>
            </w:r>
          </w:p>
        </w:tc>
        <w:tc>
          <w:tcPr>
            <w:tcW w:w="211" w:type="dxa"/>
            <w:tcBorders/>
            <w:shd w:fill="CFF0FC" w:val="cle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Goodwill and other long-lived asset impairment </w:t>
            </w:r>
            <w:r>
              <w:rPr>
                <w:rFonts w:ascii="Calibri;sans-serif" w:hAnsi="Calibri;sans-serif"/>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w:t>
            </w:r>
          </w:p>
        </w:tc>
        <w:tc>
          <w:tcPr>
            <w:tcW w:w="211" w:type="dxa"/>
            <w:tcBorders/>
            <w:shd w:fill="FFFFFF" w:val="clear"/>
            <w:vAlign w:val="center"/>
          </w:tcPr>
          <w:p>
            <w:pPr>
              <w:pStyle w:val="TableContents"/>
              <w:bidi w:val="0"/>
              <w:spacing w:before="0" w:after="283"/>
              <w:jc w:val="left"/>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31,379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29,579</w:t>
            </w:r>
          </w:p>
        </w:tc>
        <w:tc>
          <w:tcPr>
            <w:tcW w:w="211" w:type="dxa"/>
            <w:tcBorders/>
            <w:shd w:fill="CFF0FC" w:val="cle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Stock-based compensation expense for CarOffer, LLC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1,225</w:t>
            </w:r>
          </w:p>
        </w:tc>
        <w:tc>
          <w:tcPr>
            <w:tcW w:w="211" w:type="dxa"/>
            <w:tcBorders/>
            <w:shd w:fill="FFFFFF" w:val="clear"/>
            <w:vAlign w:val="center"/>
          </w:tcPr>
          <w:p>
            <w:pPr>
              <w:pStyle w:val="TableContents"/>
              <w:bidi w:val="0"/>
              <w:spacing w:before="0" w:after="283"/>
              <w:jc w:val="left"/>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Transaction-related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(3,161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(4,680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(6,562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(9,018</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105,954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86,028</w:t>
            </w:r>
          </w:p>
        </w:tc>
        <w:tc>
          <w:tcPr>
            <w:tcW w:w="211" w:type="dxa"/>
            <w:tcBorders/>
            <w:shd w:fill="FFFFFF" w:val="clear"/>
            <w:vAlign w:val="center"/>
          </w:tcPr>
          <w:p>
            <w:pPr>
              <w:pStyle w:val="TableContents"/>
              <w:bidi w:val="0"/>
              <w:spacing w:before="0" w:after="283"/>
              <w:jc w:val="left"/>
              <w:rPr/>
            </w:pPr>
            <w:r>
              <w:rPr/>
              <w:t> </w:t>
            </w:r>
          </w:p>
        </w:tc>
      </w:tr>
      <w:tr>
        <w:trPr/>
        <w:tc>
          <w:tcPr>
            <w:tcW w:w="5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Adjusted EBITDA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43,651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105,954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85,115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 xml:space="preserve">We have updated the table above to separately disclose the stock-based compensation expense for CarOffer, LLC Units and, as such, have updated the three and six months ended June 30, 2023 for comparison purposes. </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jc w:val="both"/>
        <w:rPr>
          <w:rFonts w:ascii="Calibri;sans-serif" w:hAnsi="Calibri;sans-serif"/>
          <w:color w:val="000000"/>
          <w:sz w:val="13"/>
        </w:rPr>
      </w:pPr>
      <w:r>
        <w:rPr>
          <w:rFonts w:ascii="Calibri;sans-serif" w:hAnsi="Calibri;sans-serif"/>
          <w:color w:val="000000"/>
          <w:sz w:val="13"/>
        </w:rPr>
        <w:t>During the three and six months ended June 30, 2024, we recognized a goodwill impairment and presented it with long-lived asset impairment. During the three and six months ended June 30, 2023, we did not have a goodwill impairment.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the following table presents a reconciliation of Adjusted EBITDA attributable to redeemable noncontrolling interest to net loss attributable to redeemable noncontrolling interest, the most directly comparable measure calculated in accordance with GAAP, for each of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54"/>
        <w:gridCol w:w="146"/>
        <w:gridCol w:w="211"/>
        <w:gridCol w:w="346"/>
        <w:gridCol w:w="146"/>
        <w:gridCol w:w="146"/>
        <w:gridCol w:w="211"/>
        <w:gridCol w:w="631"/>
        <w:gridCol w:w="166"/>
        <w:gridCol w:w="146"/>
        <w:gridCol w:w="211"/>
        <w:gridCol w:w="346"/>
        <w:gridCol w:w="146"/>
        <w:gridCol w:w="146"/>
        <w:gridCol w:w="211"/>
        <w:gridCol w:w="631"/>
        <w:gridCol w:w="211"/>
      </w:tblGrid>
      <w:tr>
        <w:trPr/>
        <w:tc>
          <w:tcPr>
            <w:tcW w:w="6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2023</w:t>
            </w:r>
            <w:r>
              <w:rPr>
                <w:rFonts w:ascii="Calibri;sans-serif" w:hAnsi="Calibri;sans-serif"/>
                <w:b/>
                <w:color w:val="000000"/>
                <w:sz w:val="11"/>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91"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91"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6154"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Reconciliation of Adjusted EBITDA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615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(6,862</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154"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Depreciation and amortization </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5,899</w:t>
            </w:r>
          </w:p>
        </w:tc>
        <w:tc>
          <w:tcPr>
            <w:tcW w:w="211" w:type="dxa"/>
            <w:tcBorders/>
            <w:shd w:fill="CFF0FC" w:val="clear"/>
            <w:vAlign w:val="center"/>
          </w:tcPr>
          <w:p>
            <w:pPr>
              <w:pStyle w:val="TableContents"/>
              <w:bidi w:val="0"/>
              <w:spacing w:before="0" w:after="283"/>
              <w:jc w:val="left"/>
              <w:rPr/>
            </w:pPr>
            <w:r>
              <w:rPr/>
              <w:t> </w:t>
            </w:r>
          </w:p>
        </w:tc>
      </w:tr>
      <w:tr>
        <w:trPr/>
        <w:tc>
          <w:tcPr>
            <w:tcW w:w="6154"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Other long-lived asset impairment</w:t>
            </w:r>
            <w:r>
              <w:rPr>
                <w:rFonts w:ascii="Times New Roman" w:hAnsi="Times New Roman"/>
                <w:color w:val="000000"/>
                <w:sz w:val="20"/>
              </w:rPr>
              <w:t> </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w:t>
            </w:r>
          </w:p>
        </w:tc>
        <w:tc>
          <w:tcPr>
            <w:tcW w:w="211" w:type="dxa"/>
            <w:tcBorders/>
            <w:shd w:fill="FFFFFF" w:val="clear"/>
            <w:vAlign w:val="center"/>
          </w:tcPr>
          <w:p>
            <w:pPr>
              <w:pStyle w:val="TableContents"/>
              <w:bidi w:val="0"/>
              <w:spacing w:before="0" w:after="283"/>
              <w:jc w:val="left"/>
              <w:rPr/>
            </w:pPr>
            <w:r>
              <w:rPr/>
              <w:t> </w:t>
            </w:r>
          </w:p>
        </w:tc>
      </w:tr>
      <w:tr>
        <w:trPr/>
        <w:tc>
          <w:tcPr>
            <w:tcW w:w="6154"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Stock-based compensation expense </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429</w:t>
            </w:r>
          </w:p>
        </w:tc>
        <w:tc>
          <w:tcPr>
            <w:tcW w:w="211" w:type="dxa"/>
            <w:tcBorders/>
            <w:shd w:fill="CFF0FC" w:val="clear"/>
            <w:vAlign w:val="center"/>
          </w:tcPr>
          <w:p>
            <w:pPr>
              <w:pStyle w:val="TableContents"/>
              <w:bidi w:val="0"/>
              <w:spacing w:before="0" w:after="283"/>
              <w:jc w:val="left"/>
              <w:rPr/>
            </w:pPr>
            <w:r>
              <w:rPr/>
              <w:t> </w:t>
            </w:r>
          </w:p>
        </w:tc>
      </w:tr>
      <w:tr>
        <w:trPr/>
        <w:tc>
          <w:tcPr>
            <w:tcW w:w="6154"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Stock-based compensation expense for CarOffer, LLC Units</w:t>
            </w:r>
            <w:r>
              <w:rPr>
                <w:rFonts w:ascii="Times New Roman" w:hAnsi="Times New Roman"/>
                <w:color w:val="000000"/>
                <w:sz w:val="20"/>
              </w:rPr>
              <w:t> </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467</w:t>
            </w:r>
          </w:p>
        </w:tc>
        <w:tc>
          <w:tcPr>
            <w:tcW w:w="211" w:type="dxa"/>
            <w:tcBorders/>
            <w:shd w:fill="FFFFFF" w:val="clear"/>
            <w:vAlign w:val="center"/>
          </w:tcPr>
          <w:p>
            <w:pPr>
              <w:pStyle w:val="TableContents"/>
              <w:bidi w:val="0"/>
              <w:spacing w:before="0" w:after="283"/>
              <w:jc w:val="left"/>
              <w:rPr/>
            </w:pPr>
            <w:r>
              <w:rPr/>
              <w:t> </w:t>
            </w:r>
          </w:p>
        </w:tc>
      </w:tr>
      <w:tr>
        <w:trPr/>
        <w:tc>
          <w:tcPr>
            <w:tcW w:w="6154"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Other expense, net</w:t>
            </w:r>
            <w:r>
              <w:rPr>
                <w:rFonts w:ascii="Times New Roman" w:hAnsi="Times New Roman"/>
                <w:color w:val="000000"/>
                <w:sz w:val="20"/>
              </w:rPr>
              <w:t> </w:t>
            </w:r>
            <w:r>
              <w:rPr>
                <w:rFonts w:ascii="Calibri;sans-serif" w:hAnsi="Calibri;sans-serif"/>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888</w:t>
            </w:r>
          </w:p>
        </w:tc>
        <w:tc>
          <w:tcPr>
            <w:tcW w:w="211" w:type="dxa"/>
            <w:tcBorders/>
            <w:shd w:fill="CFF0FC" w:val="clear"/>
            <w:vAlign w:val="center"/>
          </w:tcPr>
          <w:p>
            <w:pPr>
              <w:pStyle w:val="TableContents"/>
              <w:bidi w:val="0"/>
              <w:spacing w:before="0" w:after="283"/>
              <w:jc w:val="left"/>
              <w:rPr/>
            </w:pPr>
            <w:r>
              <w:rPr/>
              <w:t> </w:t>
            </w:r>
          </w:p>
        </w:tc>
      </w:tr>
      <w:tr>
        <w:trPr/>
        <w:tc>
          <w:tcPr>
            <w:tcW w:w="6154" w:type="dxa"/>
            <w:tcBorders/>
            <w:shd w:fill="FFFFFF"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 xml:space="preserve">Provision for income taxes </w:t>
            </w:r>
            <w:r>
              <w:rPr>
                <w:rFonts w:ascii="Calibri;sans-serif" w:hAnsi="Calibri;sans-serif"/>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Adjusted EBITDA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These exclusions are adjusted to reflect the noncontrolling interest of 38%.</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jc w:val="both"/>
        <w:rPr>
          <w:rFonts w:ascii="Calibri;sans-serif" w:hAnsi="Calibri;sans-serif"/>
          <w:color w:val="000000"/>
          <w:sz w:val="13"/>
        </w:rPr>
      </w:pPr>
      <w:r>
        <w:rPr>
          <w:rFonts w:ascii="Calibri;sans-serif" w:hAnsi="Calibri;sans-serif"/>
          <w:color w:val="000000"/>
          <w:sz w:val="13"/>
        </w:rPr>
        <w:t>We have updated the table above to separately disclose the stock-based compensation expense for CarOffer, LLC Units and, as such, have updated the three and six months ended June 30, 2023 for comparison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color w:val="000000"/>
          <w:sz w:val="20"/>
        </w:rPr>
        <w:t>Components of Unaudited Condensed Consolidated Income Statements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Revenue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primarily from (i) dealer subscriptions to our Listings packages, RPM, digital advertising suite, Digital Retail, and Sell My Car - TDO, (ii) advertising revenue from auto manufacturers and other auto</w:t>
        <w:noBreakHyphen/>
        <w:t>related brand advertisers, and (iii) revenue from partnerships with financing services companies. We generate wholesale revenue primarily from (x) transaction fees earned from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We generate product revenue primarily from (A) aggregate proceeds received from the sale of vehicles that were acquired through IMCO transactions, and (B) proceeds received from the sale of vehicles that were acquired through arbitration.</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Marketplace Revenue</w:t>
      </w:r>
    </w:p>
    <w:p>
      <w:pPr>
        <w:pStyle w:val="TextBody"/>
        <w:bidi w:val="0"/>
        <w:spacing w:before="240" w:after="283"/>
        <w:jc w:val="both"/>
        <w:rPr>
          <w:rFonts w:ascii="Times New Roman" w:hAnsi="Times New Roman"/>
          <w:sz w:val="20"/>
        </w:rPr>
      </w:pPr>
      <w:r>
        <w:rPr>
          <w:rFonts w:ascii="Calibri;sans-serif" w:hAnsi="Calibri;sans-serif"/>
          <w:color w:val="000000"/>
          <w:sz w:val="20"/>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Instant Market Value, or IMV, Scan tool. For details on the Dealer Dashboard and these merchandising tools, refer to “Our Products and Services – U.S. Marketplace and Other – Dealer Offerings – Dealer Dashboard and Merchandising Tools” in Part I, Item 1 in our Annual Report.</w:t>
      </w:r>
    </w:p>
    <w:p>
      <w:pPr>
        <w:pStyle w:val="TextBody"/>
        <w:bidi w:val="0"/>
        <w:spacing w:before="240" w:after="283"/>
        <w:jc w:val="both"/>
        <w:rPr>
          <w:rFonts w:ascii="Times New Roman" w:hAnsi="Times New Roman"/>
          <w:sz w:val="20"/>
        </w:rPr>
      </w:pPr>
      <w:r>
        <w:rPr>
          <w:rFonts w:ascii="Calibri;sans-serif" w:hAnsi="Calibri;sans-serif"/>
          <w:color w:val="000000"/>
          <w:sz w:val="20"/>
        </w:rPr>
        <w:t>We also offer paid Listings packages for the Autolist and PistonHeads websites.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 addition to displaying inventory in our marketplace and providing access to the Dealer Dashboard, we offer dealers subscribing to certain of our Listings packages other subscription advertising and customer acquisition products and enhancements marketed under RPM and our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also offer dealer advertising products for the PistonHeads website.</w:t>
      </w:r>
    </w:p>
    <w:p>
      <w:pPr>
        <w:pStyle w:val="TextBody"/>
        <w:bidi w:val="0"/>
        <w:spacing w:before="240" w:after="283"/>
        <w:jc w:val="both"/>
        <w:rPr>
          <w:rFonts w:ascii="Times New Roman" w:hAnsi="Times New Roman"/>
          <w:sz w:val="20"/>
        </w:rPr>
      </w:pPr>
      <w:r>
        <w:rPr>
          <w:rFonts w:ascii="Calibri;sans-serif" w:hAnsi="Calibri;sans-serif"/>
          <w:color w:val="000000"/>
          <w:sz w:val="20"/>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Geo Expansion, which expands the visibility of a dealer’s inventory in the search results beyond its local market, and (iii) Hard Pull Financing, which provides loan information.</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also offer dealers subscribing to certain of our Listings packages other subscription advertising and customer acquisition products and enhancements such as TDO, which allows dealers to pay for leads to receive direct access to shoppers actively looking to sell their vehicles. Dealers can acquire inventory from shoppers who are looking to sell directly through the CarGurus Sell My Car page.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Marketplace revenue also consists of non-dealer advertising revenue from auto manufacturers and other auto-related brand advertisers sold on a cost-per-thousand impressions basis, or CPM basis. An impression is an advertisement loaded on a web page. In addition to advertising sold on a CPM basis,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also offer non-dealer advertising products for the Autolist and PistonHeads websites.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Wholesale Revenue</w:t>
      </w:r>
    </w:p>
    <w:p>
      <w:pPr>
        <w:pStyle w:val="TextBody"/>
        <w:bidi w:val="0"/>
        <w:spacing w:before="240" w:after="283"/>
        <w:jc w:val="both"/>
        <w:rPr>
          <w:rFonts w:ascii="Times New Roman" w:hAnsi="Times New Roman"/>
          <w:sz w:val="20"/>
        </w:rPr>
      </w:pPr>
      <w:r>
        <w:rPr>
          <w:rFonts w:ascii="Calibri;sans-serif" w:hAnsi="Calibri;sans-serif"/>
          <w:color w:val="000000"/>
          <w:sz w:val="20"/>
        </w:rPr>
        <w:t>The CarOffer Matrix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revenue also includes fees earned from performing inspection and transportation services, where we collect fees from the buying dealer. Inspection and transportation service revenue is inclusive of Dealer-to-Dealer transactions, other marketplace-to-dealer transactions, and IMCO transactions.</w:t>
      </w:r>
    </w:p>
    <w:p>
      <w:pPr>
        <w:pStyle w:val="TextBody"/>
        <w:bidi w:val="0"/>
        <w:spacing w:before="240" w:after="283"/>
        <w:jc w:val="both"/>
        <w:rPr>
          <w:rFonts w:ascii="Times New Roman" w:hAnsi="Times New Roman"/>
          <w:sz w:val="20"/>
        </w:rPr>
      </w:pPr>
      <w:r>
        <w:rPr>
          <w:rFonts w:ascii="Calibri;sans-serif" w:hAnsi="Calibri;sans-serif"/>
          <w:color w:val="000000"/>
          <w:sz w:val="20"/>
        </w:rPr>
        <w:t>Wholesale revenue also includes arbitration in which the vehicle is rematched to a new buyer and not acquired by us. Arbitration is the process by which we investigate and resolve claims from buying dealers.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revenue also includes fees earned from certain guarantees offered to dealers (which include 45-Day Guarantee and OfferGuard products), where we collect fees from the buying dealer or selling dealer, as applicable.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Product Revenue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CarOffer Matrix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and transaction fees collected from buying dealers. Arbitration is the process by which we investigate and resolve claims from buying dealers. We control the vehicle in these transactions and therefore act as the principal.</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Marketplace Cost of Revenue</w:t>
      </w:r>
    </w:p>
    <w:p>
      <w:pPr>
        <w:pStyle w:val="TextBody"/>
        <w:bidi w:val="0"/>
        <w:spacing w:before="240" w:after="283"/>
        <w:jc w:val="both"/>
        <w:rPr>
          <w:rFonts w:ascii="Times New Roman" w:hAnsi="Times New Roman"/>
          <w:sz w:val="20"/>
        </w:rPr>
      </w:pPr>
      <w:r>
        <w:rPr>
          <w:rFonts w:ascii="Calibri;sans-serif" w:hAnsi="Calibri;sans-serif"/>
          <w:color w:val="000000"/>
          <w:sz w:val="20"/>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and impairment of capitalized website development; amortization of capitalized hosting arrangements; and allocated overhead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We allocate overhead expenses, such as rent and facility expenses, software expense, and employee benefit expense, to all departments based on headcount. As such, general overhead expenses are reflected in cost of revenue and each operating expense category.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Wholesale Cost of Revenue</w:t>
      </w:r>
    </w:p>
    <w:p>
      <w:pPr>
        <w:pStyle w:val="TextBody"/>
        <w:bidi w:val="0"/>
        <w:spacing w:before="240" w:after="283"/>
        <w:jc w:val="both"/>
        <w:rPr>
          <w:rFonts w:ascii="Times New Roman" w:hAnsi="Times New Roman"/>
          <w:sz w:val="20"/>
        </w:rPr>
      </w:pPr>
      <w:r>
        <w:rPr>
          <w:rFonts w:ascii="Calibri;sans-serif" w:hAnsi="Calibri;sans-serif"/>
          <w:color w:val="000000"/>
          <w:sz w:val="20"/>
        </w:rPr>
        <w:t>Wholesale cost of revenue includes expenses related to supporting and hosting Digital Wholesale service offerings, including Dealer-to-Dealer transactions and vehicles sold to dealers acquired at other marketplaces on the CarOffer Matrix.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and impairment of capitalized website development; and allocated overhead expenses.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allocate overhead expenses, such as rent and facility expenses, software expense, and employee benefit expense, to all departments based on headcount. As such, general overhead expenses are reflected in cost of revenue and each operating expense category.</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Product Cost of Revenue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cost of revenue includes expenses related to vehicles sold to dealers through IMCO transactions and vehicles sold to dealers acquired through arbitration. These expenses include the cost of the vehicle and transportation expenses.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Sales and Marketing</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Sales and marketing expenses consist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capitalized hosting arrangements; and allocated overhead expenses. A portion of our commissions that are related to obtaining a new contract are capitalized and amortized over the estimated benefit period of customer relationships. All other sales and marketing expenses are expensed as incurred. We expect sales and marketing expenses to fluctuate from quarter to quarter due to seasonality and as we respond to changes in the macroeconomic and competitive landscapes affecting our existing dealers, consumer audience, and brand awareness.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Product, Technology, and Development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technology, and development expenses consist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expenses to remain relatively flat for the remainder of the year.</w:t>
      </w:r>
    </w:p>
    <w:p>
      <w:pPr>
        <w:pStyle w:val="TextBody"/>
        <w:bidi w:val="0"/>
        <w:spacing w:before="240" w:after="283"/>
        <w:jc w:val="left"/>
        <w:rPr>
          <w:rFonts w:ascii="Calibri;sans-serif" w:hAnsi="Calibri;sans-serif"/>
          <w:i/>
          <w:color w:val="000000"/>
          <w:sz w:val="20"/>
        </w:rPr>
      </w:pPr>
      <w:r>
        <w:rPr>
          <w:rFonts w:ascii="Calibri;sans-serif" w:hAnsi="Calibri;sans-serif"/>
          <w:i/>
          <w:color w:val="000000"/>
          <w:sz w:val="20"/>
        </w:rPr>
        <w:t>General and Administrative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General and administrative expenses consist primarily of personnel and related expenses for our executive, finance, legal, people &amp;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expenses are expensed as incurred. We expect general and administrative expenses to remain relatively flat for the remainder of the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i/>
          <w:color w:val="000000"/>
          <w:sz w:val="20"/>
        </w:rPr>
      </w:pPr>
      <w:r>
        <w:rPr>
          <w:rFonts w:ascii="Calibri;sans-serif" w:hAnsi="Calibri;sans-serif"/>
          <w:i/>
          <w:color w:val="000000"/>
          <w:sz w:val="20"/>
        </w:rPr>
        <w:t>Goodwill and Other Long-Lived Asset Impairment</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2024, we identified a triggering event for goodwill and other long-lived assets impairment testing purposes at the CarOffer reporting unit due to recent organizational changes and Transaction volume declines, which resulted in revisions to our financial projections for the CarOffer reporting unit. As a result, we performed an updated fair value analysis of the CarOffer reporting unit, and subsequently recognized impairment losses of $4.7 million, $7.5 million, and $115.2 million for right-of-use assets, intangible assets, and goodwill, respectively. For further discussion of impairments related to right-of-use assets, intangible assets, and goodwill in the CarOffer reporting unit, refer to Note 6 of the Unaudited Condensed Consolidated Financial Statements included elsewhere in this Quarterly Report</w:t>
      </w:r>
      <w:r>
        <w:rPr>
          <w:rFonts w:ascii="Times New Roman" w:hAnsi="Times New Roman"/>
          <w:color w:val="000000"/>
          <w:sz w:val="24"/>
        </w:rPr>
        <w:t>.</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Depreciation and Amortization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Depreciation and amortization expenses consist of depreciation on property and equipment and amortization of intangible assets and internal-use software.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Other Income, Net</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Other income, net consists primarily of interest income earned on our cash, cash equivalents, and short-term investments and foreign exchange gains and losses.</w:t>
      </w:r>
    </w:p>
    <w:p>
      <w:pPr>
        <w:pStyle w:val="TextBody"/>
        <w:bidi w:val="0"/>
        <w:spacing w:before="240" w:after="283"/>
        <w:jc w:val="both"/>
        <w:rPr>
          <w:rFonts w:ascii="Times New Roman" w:hAnsi="Times New Roman"/>
          <w:sz w:val="20"/>
        </w:rPr>
      </w:pPr>
      <w:r>
        <w:rPr>
          <w:rFonts w:ascii="Calibri;sans-serif" w:hAnsi="Calibri;sans-serif"/>
          <w:b/>
          <w:i/>
          <w:color w:val="000000"/>
          <w:sz w:val="20"/>
        </w:rPr>
        <w:t>(Benefit from) Provision for Income Taxes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We are subject to federal and state income taxes in the U.S. and taxes in foreign jurisdictions in which we operate. For the three and six months ended June 30, 2024, a benefit from income taxes was recognized as a result of the discrete tax benefit associated with the impairment charge despite our consolidated taxable income position. For the three and six months ended June 30, 2023, a provision for income taxes was recognized as a result of the consolidated taxable income position.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We recognize deferred tax assets and liabilities based on temporary differences between the financial reporting and income tax bases of assets and liabilities using enacted tax rates in effect for the year in which the temporary differences are expected to be recovered or settled.</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regularly assess the need to recognize a valuation allowance against net deferred tax assets if, based upon the available evidence, it is more likely than not that some or all of the deferred tax assets will not be realized. As of June 30, 2024 and December 31, 2023, valuation allowances were immaterial.</w:t>
      </w:r>
    </w:p>
    <w:p>
      <w:pPr>
        <w:pStyle w:val="TextBody"/>
        <w:bidi w:val="0"/>
        <w:spacing w:before="240" w:after="283"/>
        <w:jc w:val="both"/>
        <w:rPr>
          <w:rFonts w:ascii="Times New Roman" w:hAnsi="Times New Roman"/>
          <w:sz w:val="20"/>
        </w:rPr>
      </w:pPr>
      <w:r>
        <w:rPr>
          <w:rFonts w:ascii="Calibri;sans-serif" w:hAnsi="Calibri;sans-serif"/>
          <w:color w:val="000000"/>
          <w:sz w:val="20"/>
        </w:rPr>
        <w:t>We assess our income tax positions and recognize an income tax benefit or expense based upon our evaluation of the facts, circumstances, and information available at the reporting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and six months ended June 30, 2024, income tax expense recognized related to uncertain tax provisions was immaterial. An immaterial amount of the reserve relating to uncertain tax positions was released as we would be more-likely-than-not to prevail should these tax positions be challenged by the respective tax authorities. As of June 30, 2024, the income tax liability related to uncertain tax positions, exclusive of immaterial interest or penalties related to uncertain tax provisions, was $0.9 million, which would have favorably affected our effective tax rate, if recognized.</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and six months ended June 30, 2023, we did not recognize income tax expense related to uncertain tax provisions. As of December 31, 2023, the income tax liability related to uncertain tax positions, exclusive of immaterial interest or penalties related to uncertain tax provisions, was $0.8 million, which would have favorably affected our effective tax rate, if recognized.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Organisation for Economic Co-operation and Development introduced an international tax framework under Pillar Two, which includes a global minimum tax of 15%. Pillar Two legislation has been enacted or substantively enacted in certain jurisdictions where we operate. The Pillar Two legislation became effective for our fiscal year beginning January 1, 2024. We have performed an assessment of its potential exposure to Pillar Two income taxes based on our most recent tax filings, country-by-country reporting, and financial statements for our constituent entities. Based on the assessment performed, we meet the Pillar Two transitional safe harbor effective tax rate relief as all jurisdictions in which we operate are above 15%. We do not expect any material exposure to Pillar Two income taxes in any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color w:val="000000"/>
          <w:sz w:val="20"/>
        </w:rPr>
        <w:t>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For the three months ended June 30, 2024 and 2023 and for the six months ended June 30, 2024 and 2023, the Unaudited Condensed Consolidated Income Statements are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591" w:type="dxa"/>
            <w:tcBorders/>
            <w:shd w:fill="FFFFFF" w:val="clear"/>
            <w:vAlign w:val="center"/>
          </w:tcPr>
          <w:p>
            <w:pPr>
              <w:pStyle w:val="TableContents"/>
              <w:bidi w:val="0"/>
              <w:spacing w:before="0" w:after="283"/>
              <w:jc w:val="center"/>
              <w:rPr/>
            </w:pPr>
            <w:r>
              <w:rPr/>
              <w:t> </w:t>
            </w:r>
          </w:p>
        </w:tc>
      </w:tr>
      <w:tr>
        <w:trPr/>
        <w:tc>
          <w:tcPr>
            <w:tcW w:w="45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195,167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382,386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338,077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57,138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76,485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239,737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434,488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471,700</w:t>
            </w:r>
          </w:p>
        </w:tc>
        <w:tc>
          <w:tcPr>
            <w:tcW w:w="591" w:type="dxa"/>
            <w:tcBorders/>
            <w:shd w:fill="CFF0FC" w:val="cle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27,530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31,007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26,857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46,496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152,579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182,444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164,141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357,405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319,121</w:t>
            </w:r>
          </w:p>
        </w:tc>
        <w:tc>
          <w:tcPr>
            <w:tcW w:w="591" w:type="dxa"/>
            <w:tcBorders/>
            <w:shd w:fill="CFF0FC" w:val="cle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164,585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153,415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73,998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52,186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Goodwill and other long-lived asset impairment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276,028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424,705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287,324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(93,584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(67,300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31,797</w:t>
            </w:r>
          </w:p>
        </w:tc>
        <w:tc>
          <w:tcPr>
            <w:tcW w:w="591" w:type="dxa"/>
            <w:tcBorders/>
            <w:shd w:fill="CFF0FC" w:val="cle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8,076</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9,018</w:t>
            </w:r>
          </w:p>
        </w:tc>
        <w:tc>
          <w:tcPr>
            <w:tcW w:w="591" w:type="dxa"/>
            <w:tcBorders/>
            <w:shd w:fill="CFF0FC" w:val="cle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(90,423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22,418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(60,738</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40,815</w:t>
            </w:r>
          </w:p>
        </w:tc>
        <w:tc>
          <w:tcPr>
            <w:tcW w:w="591" w:type="dxa"/>
            <w:tcBorders/>
            <w:shd w:fill="FFFFFF" w:val="clear"/>
            <w:vAlign w:val="center"/>
          </w:tcPr>
          <w:p>
            <w:pPr>
              <w:pStyle w:val="TableContents"/>
              <w:bidi w:val="0"/>
              <w:spacing w:before="0" w:after="283"/>
              <w:jc w:val="left"/>
              <w:rPr/>
            </w:pPr>
            <w:r>
              <w:rPr/>
              <w:t> </w:t>
            </w:r>
          </w:p>
        </w:tc>
      </w:tr>
      <w:tr>
        <w:trPr/>
        <w:tc>
          <w:tcPr>
            <w:tcW w:w="45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25,683</w:t>
            </w:r>
          </w:p>
        </w:tc>
        <w:tc>
          <w:tcPr>
            <w:tcW w:w="591" w:type="dxa"/>
            <w:tcBorders/>
            <w:shd w:fill="FFFFFF" w:val="clear"/>
            <w:vAlign w:val="center"/>
          </w:tcPr>
          <w:p>
            <w:pPr>
              <w:pStyle w:val="TableContents"/>
              <w:bidi w:val="0"/>
              <w:spacing w:before="0" w:after="283"/>
              <w:jc w:val="left"/>
              <w:rPr/>
            </w:pPr>
            <w:r>
              <w:rPr/>
              <w:t> </w:t>
            </w:r>
          </w:p>
        </w:tc>
      </w:tr>
      <w:tr>
        <w:trPr/>
        <w:tc>
          <w:tcPr>
            <w:tcW w:w="45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56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income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32,545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our segment revenue and our segment income (loss) from operations are as follows:</w:t>
      </w:r>
    </w:p>
    <w:tbl>
      <w:tblPr>
        <w:tblW w:w="9047"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781"/>
        <w:gridCol w:w="166"/>
        <w:gridCol w:w="146"/>
        <w:gridCol w:w="211"/>
        <w:gridCol w:w="841"/>
        <w:gridCol w:w="166"/>
        <w:gridCol w:w="146"/>
        <w:gridCol w:w="211"/>
        <w:gridCol w:w="78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180,052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158,443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353,040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314,064</w:t>
            </w:r>
          </w:p>
        </w:tc>
        <w:tc>
          <w:tcPr>
            <w:tcW w:w="41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52,102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133,623</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24,013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218,692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239,737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471,700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42,043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24,619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76,260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51,158</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(138,158</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(6,307</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(148,498</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(17,532</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(93,584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the Unaudited Condensed Consolidated Income Statements as a percentage of total revenue are as follows (amounts in the table below may not sum due to rounding):</w:t>
      </w:r>
    </w:p>
    <w:p>
      <w:pPr>
        <w:pStyle w:val="TextBody"/>
        <w:bidi w:val="0"/>
        <w:jc w:val="both"/>
        <w:rPr/>
      </w:pPr>
      <w:r>
        <w:rPr/>
        <w:t> </w:t>
      </w:r>
    </w:p>
    <w:tbl>
      <w:tblPr>
        <w:tblW w:w="9042" w:type="dxa"/>
        <w:jc w:val="left"/>
        <w:tblInd w:w="0" w:type="dxa"/>
        <w:tblLayout w:type="fixed"/>
        <w:tblCellMar>
          <w:top w:w="28" w:type="dxa"/>
          <w:left w:w="28" w:type="dxa"/>
          <w:bottom w:w="28" w:type="dxa"/>
          <w:right w:w="28" w:type="dxa"/>
        </w:tblCellMar>
      </w:tblPr>
      <w:tblGrid>
        <w:gridCol w:w="4756"/>
        <w:gridCol w:w="146"/>
        <w:gridCol w:w="146"/>
        <w:gridCol w:w="421"/>
        <w:gridCol w:w="301"/>
        <w:gridCol w:w="146"/>
        <w:gridCol w:w="146"/>
        <w:gridCol w:w="421"/>
        <w:gridCol w:w="241"/>
        <w:gridCol w:w="146"/>
        <w:gridCol w:w="146"/>
        <w:gridCol w:w="421"/>
        <w:gridCol w:w="301"/>
        <w:gridCol w:w="146"/>
        <w:gridCol w:w="146"/>
        <w:gridCol w:w="421"/>
        <w:gridCol w:w="5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w:t>
            </w:r>
          </w:p>
        </w:tc>
        <w:tc>
          <w:tcPr>
            <w:tcW w:w="59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56" w:type="dxa"/>
            <w:tcBorders/>
            <w:shd w:fill="CFF0FC"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59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56" w:type="dxa"/>
            <w:tcBorders/>
            <w:shd w:fill="FFFFFF" w:val="clear"/>
            <w:vAlign w:val="center"/>
          </w:tcPr>
          <w:p>
            <w:pPr>
              <w:pStyle w:val="TableContents"/>
              <w:bidi w:val="0"/>
              <w:spacing w:before="0" w:after="283"/>
              <w:ind w:left="300" w:right="0" w:firstLine="300"/>
              <w:jc w:val="left"/>
              <w:rPr>
                <w:rFonts w:ascii="Calibri;sans-serif" w:hAnsi="Calibri;sans-serif"/>
                <w:color w:val="000000"/>
                <w:sz w:val="20"/>
              </w:rPr>
            </w:pPr>
            <w:r>
              <w:rPr>
                <w:rFonts w:ascii="Calibri;sans-serif" w:hAnsi="Calibri;sans-serif"/>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w:t>
            </w:r>
          </w:p>
        </w:tc>
        <w:tc>
          <w:tcPr>
            <w:tcW w:w="59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Goodwill and other long-lived asset impairment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56"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59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75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75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5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59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income before income taxes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59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Consolidated net (loss)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59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attributable to redeemable noncontrolling interest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75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income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the three months ended June 30, 2024 and 2023 and for the six months ended June 30, 2024 and 2023, our segment revenue as a percentage of total revenue and our segment income (loss) from operations as a percentage of segment revenue are as follows (amounts in the table below may not sum due to rounding):</w:t>
      </w:r>
    </w:p>
    <w:p>
      <w:pPr>
        <w:pStyle w:val="TextBody"/>
        <w:bidi w:val="0"/>
        <w:jc w:val="both"/>
        <w:rPr/>
      </w:pPr>
      <w:r>
        <w:rPr/>
        <w:t> </w:t>
      </w:r>
    </w:p>
    <w:tbl>
      <w:tblPr>
        <w:tblW w:w="7692" w:type="dxa"/>
        <w:jc w:val="left"/>
        <w:tblInd w:w="0" w:type="dxa"/>
        <w:tblLayout w:type="fixed"/>
        <w:tblCellMar>
          <w:top w:w="28" w:type="dxa"/>
          <w:left w:w="28" w:type="dxa"/>
          <w:bottom w:w="28" w:type="dxa"/>
          <w:right w:w="28" w:type="dxa"/>
        </w:tblCellMar>
      </w:tblPr>
      <w:tblGrid>
        <w:gridCol w:w="3466"/>
        <w:gridCol w:w="146"/>
        <w:gridCol w:w="146"/>
        <w:gridCol w:w="481"/>
        <w:gridCol w:w="301"/>
        <w:gridCol w:w="146"/>
        <w:gridCol w:w="146"/>
        <w:gridCol w:w="421"/>
        <w:gridCol w:w="241"/>
        <w:gridCol w:w="146"/>
        <w:gridCol w:w="146"/>
        <w:gridCol w:w="481"/>
        <w:gridCol w:w="301"/>
        <w:gridCol w:w="146"/>
        <w:gridCol w:w="146"/>
        <w:gridCol w:w="42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Revenue:</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3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(587</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(285</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For the three months ended June 30, 2024 and 2023</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Revenue</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Revenue by Source</w:t>
      </w:r>
    </w:p>
    <w:p>
      <w:pPr>
        <w:pStyle w:val="TextBody"/>
        <w:bidi w:val="0"/>
        <w:jc w:val="both"/>
        <w:rPr/>
      </w:pPr>
      <w:r>
        <w:rPr/>
        <w:t> </w:t>
      </w:r>
    </w:p>
    <w:tbl>
      <w:tblPr>
        <w:tblW w:w="7587"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736"/>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195,167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170,950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13,119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31,952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(18,833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36,835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218,692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239,737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Overall revenue decreased $21.0 million, or 9%, in the three months ended June 30, 2024, compared to the three months ended June 30, 2023.</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revenue increased $24.2 million, or 14%, in the three months ended June 30, 2024, compared to the three months ended June 30, 2023, and represented 89% of total revenue for the three months ended June 30, 2024, compared to 71% of total revenue for the three months ended June 30, 2023. The increase was due to an increase in Listings revenue, inclusive of certain digital add-on products, as a result of growth in QARSD, which was driven by signing on new dealers with higher average subscription revenue and revenue expansion through product adoption or upgrades and price increases for existing dealers. The increase was additionally driven by an increase in TDO revenue as we expanded into more geographies following the completion of the pilot in the three months ended June 30,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revenue decreased $18.8 million, or 59%, in the three months ended June 30, 2024, compared to the three months ended June 30, 2023, and represented 6% of total revenue for the three months ended June 30, 2024, compared to 13% of total revenue for the three months ended June 30, 2023. The decrease was due primarily to a 58% decrease in Transactions, which includes Dealer-to-Dealer transactions and IMCO transactions, to 8,778 for the three months ended June 30, 2024, from 20,793 for the three months ended June 30,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revenue decreased $26.4 million, or 72%, in the three months ended June 30, 2024, compared to the three months ended June 30, 2023, and represented 5% of total revenue for the three months ended June 30, 2024, compared to 15% of total revenue for the three months ended June 30, 2023. The decrease was due primarily to a decrease in proceeds received from the sale of vehicles through IMCO transactions, including lower average vehicle selling prices and lower transaction fees, due to the decrease in Transactions. The decrease in product revenue was offset in part by an increase in proceeds received from the sale of vehicles acquired through arbitration.</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Segment Revenue</w:t>
      </w:r>
    </w:p>
    <w:p>
      <w:pPr>
        <w:pStyle w:val="TextBody"/>
        <w:bidi w:val="0"/>
        <w:jc w:val="both"/>
        <w:rPr/>
      </w:pPr>
      <w:r>
        <w:rPr/>
        <w:t> </w:t>
      </w:r>
    </w:p>
    <w:tbl>
      <w:tblPr>
        <w:tblW w:w="7567"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736"/>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180,052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158,443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21,609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23,525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68,787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(45,262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15,115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12,507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218,692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239,737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U.S. Marketplace segment revenue increased $21.6 million, or 14%, in the three months ended June 30, 2024, compared to the three months ended June 30, 2023, and represented 82% of total revenue for the three months ended June 30, 2024, compared to 66% of total revenue for the three months ended June 30, 2023. The increase was due primarily to a $24.2 million increase in marketplace revenue, as described above.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Digital Wholesale segment revenue, which is comprised of wholesale revenue and product revenue, decreased $45.3 million, or 66%, in the three months ended June 30, 2024, compared to the three months ended June 30, 2023, and represented 11% of total revenue for the three months ended June 30, 2024, compared to 29% of total revenue for the three months ended June 30, 2023. The decrease in Digital Wholesale segment revenue was due to an $18.8 million decrease in wholesale revenue and a $26.4 million decrease in product revenue, as described above.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jc w:val="both"/>
        <w:rPr/>
      </w:pPr>
      <w:r>
        <w:rPr/>
        <w:t> </w:t>
      </w:r>
    </w:p>
    <w:tbl>
      <w:tblPr>
        <w:tblW w:w="7377" w:type="dxa"/>
        <w:jc w:val="left"/>
        <w:tblInd w:w="0" w:type="dxa"/>
        <w:tblLayout w:type="fixed"/>
        <w:tblCellMar>
          <w:top w:w="28" w:type="dxa"/>
          <w:left w:w="28" w:type="dxa"/>
          <w:bottom w:w="28" w:type="dxa"/>
          <w:right w:w="28" w:type="dxa"/>
        </w:tblCellMar>
      </w:tblPr>
      <w:tblGrid>
        <w:gridCol w:w="2491"/>
        <w:gridCol w:w="146"/>
        <w:gridCol w:w="211"/>
        <w:gridCol w:w="676"/>
        <w:gridCol w:w="241"/>
        <w:gridCol w:w="146"/>
        <w:gridCol w:w="211"/>
        <w:gridCol w:w="676"/>
        <w:gridCol w:w="241"/>
        <w:gridCol w:w="146"/>
        <w:gridCol w:w="211"/>
        <w:gridCol w:w="736"/>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2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13,145</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15,474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12,633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24,428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(11,795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10,470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35,694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36,248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75,596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(39,348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Overall cost of revenue decreased $39.3 million, or 52%, in the three months ended June 30, 2024, compared to the three months ended June 30, 2023.</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cost of revenue decreased $2.3 million, or 15%, in the three months ended June 30, 2024, compared to the three months ended June 30, 2023, and represented 6% of total revenue for both the three months ended June 30, 2024 and 2023. The decrease was due primarily to a $1.4 million decrease in fees related to provisioning advertising campaigns on our websites.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cost of revenue decreased $11.8 million, or 48%, in the three months ended June 30, 2024, compared to the three months ended June 30, 2023, and represented 6% of total revenue for the three months ended June 30, 2024, compared to 10% of total revenue for the three months ended June 30, 2023. The decrease was due primarily to a $6.0 million decrease in transportation expense and a $1.4 million decrease in inspection expense as a result of lower Transaction volume. The decrease was also due in part to a $3.8 million decrease in amortization, primarily due to the acquired developed technology intangible asset as it became fully amortized during the first quarter of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cost of revenue decreased $25.2 million, or 71%, in the three months ended June 30, 2024, compared to the three months ended June 30, 2023, and represented 5% of total revenue for the three months ended June 30, 2024, compared to 15% of total revenue for the three months ended June 30, 2023. The decrease was due primarily to a decrease in expenses related to vehicles sold to dealers through IMCO transactions as a result of lower Transaction volume. The decrease in product cost of revenue was offset in part by an increase in expenses related to vehicles sold to dealers acquired through arbitration.</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Times New Roman" w:hAnsi="Times New Roman"/>
          <w:sz w:val="20"/>
        </w:rPr>
      </w:pPr>
      <w:r>
        <w:rPr>
          <w:rFonts w:ascii="Calibri;sans-serif" w:hAnsi="Calibri;sans-serif"/>
          <w:i/>
          <w:color w:val="000000"/>
          <w:sz w:val="20"/>
        </w:rPr>
        <w:t>Sales and Marketing Expense</w:t>
      </w:r>
      <w:r>
        <w:rPr>
          <w:rFonts w:ascii="Times New Roman" w:hAnsi="Times New Roman"/>
          <w:color w:val="000000"/>
          <w:sz w:val="20"/>
        </w:rPr>
        <w:t xml:space="preserve"> </w:t>
      </w:r>
    </w:p>
    <w:p>
      <w:pPr>
        <w:pStyle w:val="TextBody"/>
        <w:bidi w:val="0"/>
        <w:jc w:val="both"/>
        <w:rPr/>
      </w:pPr>
      <w:r>
        <w:rPr/>
        <w:t> </w:t>
      </w:r>
    </w:p>
    <w:tbl>
      <w:tblPr>
        <w:tblW w:w="670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571"/>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7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82,311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77,838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Sales and marketing expense increased $4.5 million, or 6%, in the three months ended June 30, 2024, compared to the three months ended June 30, 2023. The increase was due primarily to a $4.0 million increase in advertising and marketing expense for strategic advertising spend with our performance marketing vendors to maintain year-over-year lead volume and grow with the market. The increase in sales and marketing expense was further driven by our new brand campaign and marketing efforts.</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Product, Technology, and Development Expense</w:t>
      </w:r>
    </w:p>
    <w:p>
      <w:pPr>
        <w:pStyle w:val="TextBody"/>
        <w:bidi w:val="0"/>
        <w:jc w:val="both"/>
        <w:rPr/>
      </w:pPr>
      <w:r>
        <w:rPr/>
        <w:t> </w:t>
      </w:r>
    </w:p>
    <w:tbl>
      <w:tblPr>
        <w:tblW w:w="7642" w:type="dxa"/>
        <w:jc w:val="left"/>
        <w:tblInd w:w="0" w:type="dxa"/>
        <w:tblLayout w:type="fixed"/>
        <w:tblCellMar>
          <w:top w:w="28" w:type="dxa"/>
          <w:left w:w="28" w:type="dxa"/>
          <w:bottom w:w="28" w:type="dxa"/>
          <w:right w:w="28" w:type="dxa"/>
        </w:tblCellMar>
      </w:tblPr>
      <w:tblGrid>
        <w:gridCol w:w="3181"/>
        <w:gridCol w:w="146"/>
        <w:gridCol w:w="211"/>
        <w:gridCol w:w="676"/>
        <w:gridCol w:w="241"/>
        <w:gridCol w:w="146"/>
        <w:gridCol w:w="211"/>
        <w:gridCol w:w="676"/>
        <w:gridCol w:w="241"/>
        <w:gridCol w:w="146"/>
        <w:gridCol w:w="211"/>
        <w:gridCol w:w="481"/>
        <w:gridCol w:w="166"/>
        <w:gridCol w:w="146"/>
        <w:gridCol w:w="146"/>
        <w:gridCol w:w="271"/>
        <w:gridCol w:w="34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6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36,580</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37,391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1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technology, and development expense decreased $0.8 million, or 2%, in the three months ended June 30, 2024, compared to the three months ended June 30, 2023. The decrease was due primarily to a $2.3 million decrease in expense as a result of increased website development capitalization. The decrease was offset in part by a $1.3 million increase in salaries and employee-related expenses due primarily to merit increases.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i/>
          <w:color w:val="000000"/>
          <w:sz w:val="20"/>
        </w:rPr>
        <w:t>General and Administrative Expense</w:t>
      </w:r>
      <w:r>
        <w:rPr>
          <w:rFonts w:ascii="Times New Roman" w:hAnsi="Times New Roman"/>
          <w:color w:val="000000"/>
          <w:sz w:val="20"/>
        </w:rPr>
        <w:t xml:space="preserve"> </w:t>
      </w:r>
    </w:p>
    <w:p>
      <w:pPr>
        <w:pStyle w:val="TextBody"/>
        <w:bidi w:val="0"/>
        <w:jc w:val="both"/>
        <w:rPr/>
      </w:pPr>
      <w:r>
        <w:rPr/>
        <w:t> </w:t>
      </w:r>
    </w:p>
    <w:tbl>
      <w:tblPr>
        <w:tblW w:w="6601"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25"/>
        <w:gridCol w:w="451"/>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73"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27,429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27,267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5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General and administrative expense remained relatively flat during the three months ended June 30, 2024, compared to the three months ended June 30, 2023.</w:t>
      </w:r>
      <w:r>
        <w:rPr>
          <w:rFonts w:ascii="Times New Roman" w:hAnsi="Times New Roman"/>
          <w:color w:val="000000"/>
          <w:sz w:val="20"/>
        </w:rPr>
        <w:t xml:space="preserve">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Goodwill and Other Long-Lived Asset Impairment</w:t>
      </w:r>
    </w:p>
    <w:p>
      <w:pPr>
        <w:pStyle w:val="TextBody"/>
        <w:bidi w:val="0"/>
        <w:jc w:val="both"/>
        <w:rPr/>
      </w:pPr>
      <w:r>
        <w:rPr/>
        <w:t> </w:t>
      </w:r>
    </w:p>
    <w:tbl>
      <w:tblPr>
        <w:tblW w:w="8270" w:type="dxa"/>
        <w:jc w:val="left"/>
        <w:tblInd w:w="0" w:type="dxa"/>
        <w:tblLayout w:type="fixed"/>
        <w:tblCellMar>
          <w:top w:w="28" w:type="dxa"/>
          <w:left w:w="28" w:type="dxa"/>
          <w:bottom w:w="28" w:type="dxa"/>
          <w:right w:w="28" w:type="dxa"/>
        </w:tblCellMar>
      </w:tblPr>
      <w:tblGrid>
        <w:gridCol w:w="3871"/>
        <w:gridCol w:w="146"/>
        <w:gridCol w:w="211"/>
        <w:gridCol w:w="781"/>
        <w:gridCol w:w="241"/>
        <w:gridCol w:w="146"/>
        <w:gridCol w:w="211"/>
        <w:gridCol w:w="346"/>
        <w:gridCol w:w="241"/>
        <w:gridCol w:w="146"/>
        <w:gridCol w:w="211"/>
        <w:gridCol w:w="781"/>
        <w:gridCol w:w="146"/>
        <w:gridCol w:w="146"/>
        <w:gridCol w:w="64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53" w:type="dxa"/>
            <w:gridSpan w:val="13"/>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 and other long-lived asset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127,475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sz w:val="20"/>
              </w:rPr>
            </w:pPr>
            <w:r>
              <w:rPr>
                <w:rFonts w:ascii="Calibri;sans-serif" w:hAnsi="Calibri;sans-serif"/>
                <w:color w:val="000000"/>
                <w:sz w:val="20"/>
              </w:rPr>
              <w:t xml:space="preserve">NM </w:t>
            </w:r>
            <w:r>
              <w:rPr>
                <w:rFonts w:ascii="Calibri;sans-serif" w:hAnsi="Calibri;sans-serif"/>
                <w:color w:val="000000"/>
                <w:sz w:val="13"/>
              </w:rPr>
              <w:t>(1)</w:t>
            </w:r>
          </w:p>
        </w:tc>
      </w:tr>
      <w:tr>
        <w:trPr/>
        <w:tc>
          <w:tcPr>
            <w:tcW w:w="38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Not meaningful</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Goodwill and other long-lived asset impairment increased $127.5 million in the three months ended June 30, 2024, compared to the three months ended June 30, 2023. During the three months ended June 30, 2024, we identified a triggering event for goodwill and other long-lived assets impairment testing purposes at the CarOffer reporting unit due to recent organizational changes and Transaction volume declines, which resulted in revisions to our financial projections for the CarOffer reporting unit. As a result, we performed an updated fair value analysis of the CarOffer reporting unit, and subsequently recognized impairment losses of $4.7 million, $7.5 million, and $115.2 million for right-of-use assets, intangible assets, and goodwill, respectively. For further discussion of impairments related to right-of-use assets, intangible assets, and goodwill in the CarOffer reporting unit, refer to Note 6 of the Unaudited Condensed Consolidated Financial Statements included elsewhere in this Quarterly Report.</w:t>
      </w:r>
    </w:p>
    <w:p>
      <w:pPr>
        <w:pStyle w:val="TextBody"/>
        <w:bidi w:val="0"/>
        <w:spacing w:before="240" w:after="283"/>
        <w:jc w:val="both"/>
        <w:rPr>
          <w:rFonts w:ascii="Times New Roman" w:hAnsi="Times New Roman"/>
          <w:sz w:val="20"/>
        </w:rPr>
      </w:pPr>
      <w:r>
        <w:rPr>
          <w:rFonts w:ascii="Calibri;sans-serif" w:hAnsi="Calibri;sans-serif"/>
          <w:i/>
          <w:color w:val="000000"/>
          <w:sz w:val="20"/>
        </w:rPr>
        <w:t>Depreciation and Amortization Expense</w:t>
      </w:r>
      <w:r>
        <w:rPr>
          <w:rFonts w:ascii="Times New Roman" w:hAnsi="Times New Roman"/>
          <w:color w:val="000000"/>
          <w:sz w:val="20"/>
        </w:rPr>
        <w:t xml:space="preserve"> </w:t>
      </w:r>
    </w:p>
    <w:p>
      <w:pPr>
        <w:pStyle w:val="TextBody"/>
        <w:bidi w:val="0"/>
        <w:jc w:val="both"/>
        <w:rPr/>
      </w:pPr>
      <w:r>
        <w:rPr/>
        <w:t> </w:t>
      </w:r>
    </w:p>
    <w:tbl>
      <w:tblPr>
        <w:tblW w:w="7027" w:type="dxa"/>
        <w:jc w:val="left"/>
        <w:tblInd w:w="0" w:type="dxa"/>
        <w:tblLayout w:type="fixed"/>
        <w:tblCellMar>
          <w:top w:w="28" w:type="dxa"/>
          <w:left w:w="28" w:type="dxa"/>
          <w:bottom w:w="28" w:type="dxa"/>
          <w:right w:w="28" w:type="dxa"/>
        </w:tblCellMar>
      </w:tblPr>
      <w:tblGrid>
        <w:gridCol w:w="2521"/>
        <w:gridCol w:w="146"/>
        <w:gridCol w:w="211"/>
        <w:gridCol w:w="571"/>
        <w:gridCol w:w="241"/>
        <w:gridCol w:w="146"/>
        <w:gridCol w:w="211"/>
        <w:gridCol w:w="571"/>
        <w:gridCol w:w="241"/>
        <w:gridCol w:w="146"/>
        <w:gridCol w:w="211"/>
        <w:gridCol w:w="631"/>
        <w:gridCol w:w="166"/>
        <w:gridCol w:w="146"/>
        <w:gridCol w:w="146"/>
        <w:gridCol w:w="376"/>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1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2,233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3,907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(1,674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5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Depreciation and amortization expense decreased $1.7 million, or 43%, in the three months ended June 30, 2024, compared to the three months ended June 30, 2023. The decrease was due primarily to the customer relationships intangible asset related to the Digital Wholesale segment becoming fully amortized during the first quarter of 2024.</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Other Income, net</w:t>
      </w:r>
    </w:p>
    <w:p>
      <w:pPr>
        <w:pStyle w:val="TextBody"/>
        <w:bidi w:val="0"/>
        <w:jc w:val="both"/>
        <w:rPr/>
      </w:pPr>
      <w:r>
        <w:rPr/>
        <w:t> </w:t>
      </w:r>
    </w:p>
    <w:tbl>
      <w:tblPr>
        <w:tblW w:w="7087" w:type="dxa"/>
        <w:jc w:val="left"/>
        <w:tblInd w:w="0" w:type="dxa"/>
        <w:tblLayout w:type="fixed"/>
        <w:tblCellMar>
          <w:top w:w="28" w:type="dxa"/>
          <w:left w:w="28" w:type="dxa"/>
          <w:bottom w:w="28" w:type="dxa"/>
          <w:right w:w="28" w:type="dxa"/>
        </w:tblCellMar>
      </w:tblPr>
      <w:tblGrid>
        <w:gridCol w:w="2491"/>
        <w:gridCol w:w="146"/>
        <w:gridCol w:w="211"/>
        <w:gridCol w:w="571"/>
        <w:gridCol w:w="241"/>
        <w:gridCol w:w="146"/>
        <w:gridCol w:w="211"/>
        <w:gridCol w:w="571"/>
        <w:gridCol w:w="241"/>
        <w:gridCol w:w="146"/>
        <w:gridCol w:w="211"/>
        <w:gridCol w:w="631"/>
        <w:gridCol w:w="166"/>
        <w:gridCol w:w="146"/>
        <w:gridCol w:w="146"/>
        <w:gridCol w:w="421"/>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4,333</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3,161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4,680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6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Total other income, net decreased $1.5 million, or 32%, in the three months ended June 30, 2024, compared to the three months ended June 30, 2023. The $1.9 million decrease in interest income was due primarily to the decrease in cash equivalents to fund the 2024 Share Repurchase Program (as defined below). Other income, net was relatively flat for the three months ended June 30, 2024 compared to the three months ended June 30, 2023.</w:t>
      </w:r>
    </w:p>
    <w:p>
      <w:pPr>
        <w:pStyle w:val="TextBody"/>
        <w:bidi w:val="0"/>
        <w:spacing w:before="240" w:after="283"/>
        <w:jc w:val="both"/>
        <w:rPr>
          <w:rFonts w:ascii="Times New Roman" w:hAnsi="Times New Roman"/>
          <w:sz w:val="20"/>
        </w:rPr>
      </w:pPr>
      <w:r>
        <w:rPr>
          <w:rFonts w:ascii="Calibri;sans-serif" w:hAnsi="Calibri;sans-serif"/>
          <w:b/>
          <w:i/>
          <w:color w:val="000000"/>
          <w:sz w:val="20"/>
        </w:rPr>
        <w:t>(Benefit from) Provision for Income Taxes</w:t>
      </w:r>
      <w:r>
        <w:rPr>
          <w:rFonts w:ascii="Times New Roman" w:hAnsi="Times New Roman"/>
          <w:color w:val="000000"/>
          <w:sz w:val="20"/>
        </w:rPr>
        <w:t xml:space="preserve"> </w:t>
      </w:r>
    </w:p>
    <w:p>
      <w:pPr>
        <w:pStyle w:val="TextBody"/>
        <w:bidi w:val="0"/>
        <w:jc w:val="both"/>
        <w:rPr/>
      </w:pPr>
      <w:r>
        <w:rPr/>
        <w:t> </w:t>
      </w:r>
    </w:p>
    <w:tbl>
      <w:tblPr>
        <w:tblW w:w="8317" w:type="dxa"/>
        <w:jc w:val="left"/>
        <w:tblInd w:w="0" w:type="dxa"/>
        <w:tblLayout w:type="fixed"/>
        <w:tblCellMar>
          <w:top w:w="28" w:type="dxa"/>
          <w:left w:w="28" w:type="dxa"/>
          <w:bottom w:w="28" w:type="dxa"/>
          <w:right w:w="28" w:type="dxa"/>
        </w:tblCellMar>
      </w:tblPr>
      <w:tblGrid>
        <w:gridCol w:w="3376"/>
        <w:gridCol w:w="146"/>
        <w:gridCol w:w="211"/>
        <w:gridCol w:w="736"/>
        <w:gridCol w:w="301"/>
        <w:gridCol w:w="146"/>
        <w:gridCol w:w="211"/>
        <w:gridCol w:w="571"/>
        <w:gridCol w:w="241"/>
        <w:gridCol w:w="146"/>
        <w:gridCol w:w="211"/>
        <w:gridCol w:w="736"/>
        <w:gridCol w:w="166"/>
        <w:gridCol w:w="146"/>
        <w:gridCol w:w="146"/>
        <w:gridCol w:w="481"/>
        <w:gridCol w:w="3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4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(21,702</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8,601</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(30,303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(352</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(Benefit from) provision for income taxes changed $30.3 million, or 352%, in the three months ended June 30, 2024, compared to the three months ended June 30, 2023, primarily due to increased federal and state research development tax credits and a $31.5 million discrete deferred tax benefit in association with the goodwill and long-term assets impairment charges related to the CarOffer reporting unit recognized during the three months ended June 30, 2024. This was partially offset by a net $1.2 million tax expense related to the windfalls on the taxable compensation of stock-based awards and the Section 162(m) excess officer compensation limitation recognized during the three months ended June 30, 2024, compared to an aggregated $2.6 million shortfalls on the taxable compensation of stock-based awards and the Section 162(m) excess officer compensation limitation recognized during the three months ended June 30, 2023.</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Segment Income (Loss) from Operations</w:t>
      </w:r>
    </w:p>
    <w:p>
      <w:pPr>
        <w:pStyle w:val="TextBody"/>
        <w:bidi w:val="0"/>
        <w:jc w:val="both"/>
        <w:rPr/>
      </w:pPr>
      <w:r>
        <w:rPr/>
        <w:t> </w:t>
      </w:r>
    </w:p>
    <w:tbl>
      <w:tblPr>
        <w:tblW w:w="8917" w:type="dxa"/>
        <w:jc w:val="left"/>
        <w:tblInd w:w="0" w:type="dxa"/>
        <w:tblLayout w:type="fixed"/>
        <w:tblCellMar>
          <w:top w:w="28" w:type="dxa"/>
          <w:left w:w="28" w:type="dxa"/>
          <w:bottom w:w="28" w:type="dxa"/>
          <w:right w:w="28" w:type="dxa"/>
        </w:tblCellMar>
      </w:tblPr>
      <w:tblGrid>
        <w:gridCol w:w="3466"/>
        <w:gridCol w:w="146"/>
        <w:gridCol w:w="211"/>
        <w:gridCol w:w="841"/>
        <w:gridCol w:w="301"/>
        <w:gridCol w:w="146"/>
        <w:gridCol w:w="211"/>
        <w:gridCol w:w="676"/>
        <w:gridCol w:w="241"/>
        <w:gridCol w:w="146"/>
        <w:gridCol w:w="211"/>
        <w:gridCol w:w="841"/>
        <w:gridCol w:w="166"/>
        <w:gridCol w:w="146"/>
        <w:gridCol w:w="146"/>
        <w:gridCol w:w="63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Three Months Ended</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1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42,043</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24,619</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(138,158</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(6,307</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(131,851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(2,091</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(93,584</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17,738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(111,322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segment revenue:</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(587</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U.S. Marketplace segment income from operations increased $17.4 million, or 71%, in the three months ended June 30, 2024, compared to the three months ended June 30, 2023, and represented 23% of U.S. Marketplace segment revenue for the three months ended June 30, 2024, compared to 16% of U.S. Marketplace segment revenue for the three months ended June 30, 2023. The increase was due to an increase in revenue of $21.6 million, a decrease in cost of revenue of $2.3 million, and an increase in operating expenses of $6.5 million.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Digital Wholesale segment loss from operations increased $131.9 million, or 2,091%, in the three months ended June 30, 2024, compared to the three months ended June 30, 2023, and represented (587)% of Digital Wholesale segment revenue for the three months ended June 30, 2024, compared to (9)% of Digital Wholesale segment revenue for the three months ended June 30, 2023. The increase in the loss was due to a decrease in revenue of $45.3 million, a decrease in cost of revenue of $37.0 million, and an increase in operating expenses of $123.6 million. The increase in operating expenses was inclusive of $127.5 million of impairment expense related to the CarOffer reporting unit. For further discussion of impairments related to right-of-use assets, intangible assets and goodwill in the CarOffer reporting unit, refer to Note 6 of the Unaudited Condensed Consolidated Financial Statements included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For the six months ended June 30, 2024 and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i/>
          <w:color w:val="000000"/>
          <w:sz w:val="20"/>
        </w:rPr>
        <w:t>Revenue by Source</w:t>
      </w:r>
      <w:r>
        <w:rPr>
          <w:rFonts w:ascii="Times New Roman" w:hAnsi="Times New Roman"/>
          <w:color w:val="000000"/>
          <w:sz w:val="20"/>
        </w:rPr>
        <w:t xml:space="preserve"> </w:t>
      </w:r>
    </w:p>
    <w:p>
      <w:pPr>
        <w:pStyle w:val="TextBody"/>
        <w:bidi w:val="0"/>
        <w:jc w:val="both"/>
        <w:rPr/>
      </w:pPr>
      <w:r>
        <w:rPr/>
        <w:t> </w:t>
      </w:r>
    </w:p>
    <w:tbl>
      <w:tblPr>
        <w:tblW w:w="7587"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736"/>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382,386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338,077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44,309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29,244</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57,138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(27,894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22,858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76,485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434,488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471,700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88</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Overall revenue decreased $37.2 million, or 8%, in the six months ended June 30, 2024, compared to the six months ended June 30, 2023.</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revenue increased $44.3 million, or 13%, in the six months ended June 30, 2024, compared to the six months ended June 30, 2023, and represented 88% of total revenue for the six months ended June 30, 2024, compared to 72% of total revenue for the six months ended June 30, 2023. The increase was due to an increase in Listings revenue, inclusive of certain digital add-on products, as a result of growth in QARSD, which was driven by signing on new dealers with higher average subscription revenue and revenue expansion through product adoption or upgrades and price increases for existing dealers. The increase was additionally driven by an increase in TDO revenue as we expanded into more geographies following the completion of the pilot in the six months ended June 30,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revenue decreased $27.9 million, or 49%, in the six months ended June 30, 2024, compared to the six months ended June 30, 2023, and represented 7% of total revenue for the six months ended June 30, 2024, compared to 12% of total revenue for the six months ended June 30, 2023. The decrease was due primarily to a 50% decrease in Transactions, which includes Dealer-to-Dealer transactions and IMCO transactions, to 19,080 for the six months ended June 30, 2024, from 38,298 for the six months ended June 30, 2023.</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revenue decreased $53.6 million, or 70%, in the six months ended June 30, 2024, compared to the six months ended June 30, 2023, and represented 5% of total revenue for the six months ended June 30, 2024, compared to 16% of total revenue for the six months ended June 30, 2023. The decrease was due primarily to a decrease in proceeds received from the sale of vehicles through IMCO transactions, including lower average vehicle selling prices and lower transaction fees, due to the decrease in Transactions, as well as a decrease in average vehicle selling price. The decrease in product revenue was also due in part to a decrease in proceeds received from the sale of vehicles acquired through arbitration as a result of decreased arbitration claims primarily due to lower Transaction volume.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Segment Revenue</w:t>
      </w:r>
    </w:p>
    <w:p>
      <w:pPr>
        <w:pStyle w:val="TextBody"/>
        <w:bidi w:val="0"/>
        <w:jc w:val="both"/>
        <w:rPr/>
      </w:pPr>
      <w:r>
        <w:rPr/>
        <w:t> </w:t>
      </w:r>
    </w:p>
    <w:tbl>
      <w:tblPr>
        <w:tblW w:w="7567" w:type="dxa"/>
        <w:jc w:val="left"/>
        <w:tblInd w:w="0" w:type="dxa"/>
        <w:tblLayout w:type="fixed"/>
        <w:tblCellMar>
          <w:top w:w="28" w:type="dxa"/>
          <w:left w:w="28" w:type="dxa"/>
          <w:bottom w:w="28" w:type="dxa"/>
          <w:right w:w="28" w:type="dxa"/>
        </w:tblCellMar>
      </w:tblPr>
      <w:tblGrid>
        <w:gridCol w:w="2491"/>
        <w:gridCol w:w="146"/>
        <w:gridCol w:w="211"/>
        <w:gridCol w:w="781"/>
        <w:gridCol w:w="241"/>
        <w:gridCol w:w="146"/>
        <w:gridCol w:w="211"/>
        <w:gridCol w:w="781"/>
        <w:gridCol w:w="241"/>
        <w:gridCol w:w="146"/>
        <w:gridCol w:w="211"/>
        <w:gridCol w:w="736"/>
        <w:gridCol w:w="166"/>
        <w:gridCol w:w="146"/>
        <w:gridCol w:w="146"/>
        <w:gridCol w:w="376"/>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3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353,040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314,064</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38,976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52,102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133,623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(81,521</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29,346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24,013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434,488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471,700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U.S. Marketplace segment revenue increased $39.0 million, or 12%, in the six months ended June 30, 2024, compared to the six months ended June 30, 2023, and represented 81% of total revenue for the six months ended June 30, 2024, compared to 67% of total revenue for the six months ended June 30, 2023. The increase was due primarily to a $44.3 million increase in marketplace revenue, as described above.</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Digital Wholesale segment revenue, which is comprised of wholesale revenue and product revenue, decreased $81.5 million, or 61%, in the six months ended June 30, 2024, compared to the six months ended June 30, 2023, and represented 12% of total revenue for the six months ended June 30, 2024, compared to 28% of total revenue for the six months ended June 30, 2023. The decrease in Digital Wholesale segment revenue was due to a $27.9 million decrease in wholesale revenue and a $53.6 million decrease in product revenue, as described above.</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Cost of Revenue</w:t>
      </w:r>
    </w:p>
    <w:p>
      <w:pPr>
        <w:pStyle w:val="TextBody"/>
        <w:bidi w:val="0"/>
        <w:jc w:val="left"/>
        <w:rPr/>
      </w:pPr>
      <w:r>
        <w:rPr/>
        <w:t> </w:t>
      </w:r>
    </w:p>
    <w:tbl>
      <w:tblPr>
        <w:tblW w:w="7882" w:type="dxa"/>
        <w:jc w:val="left"/>
        <w:tblInd w:w="0" w:type="dxa"/>
        <w:tblLayout w:type="fixed"/>
        <w:tblCellMar>
          <w:top w:w="28" w:type="dxa"/>
          <w:left w:w="28" w:type="dxa"/>
          <w:bottom w:w="28" w:type="dxa"/>
          <w:right w:w="28" w:type="dxa"/>
        </w:tblCellMar>
      </w:tblPr>
      <w:tblGrid>
        <w:gridCol w:w="2691"/>
        <w:gridCol w:w="346"/>
        <w:gridCol w:w="211"/>
        <w:gridCol w:w="676"/>
        <w:gridCol w:w="241"/>
        <w:gridCol w:w="146"/>
        <w:gridCol w:w="211"/>
        <w:gridCol w:w="781"/>
        <w:gridCol w:w="241"/>
        <w:gridCol w:w="146"/>
        <w:gridCol w:w="211"/>
        <w:gridCol w:w="736"/>
        <w:gridCol w:w="166"/>
        <w:gridCol w:w="146"/>
        <w:gridCol w:w="146"/>
        <w:gridCol w:w="376"/>
        <w:gridCol w:w="411"/>
      </w:tblGrid>
      <w:tr>
        <w:trPr/>
        <w:tc>
          <w:tcPr>
            <w:tcW w:w="2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443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6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Cost of Revenue:</w:t>
            </w:r>
          </w:p>
        </w:tc>
        <w:tc>
          <w:tcPr>
            <w:tcW w:w="3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Marketplace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27,530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31,007</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(3,477</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Wholesale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26,857</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46,496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(19,639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Product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22,696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75,076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Total</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77,083</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152,579</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(75,496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4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b/>
                <w:color w:val="000000"/>
                <w:sz w:val="20"/>
              </w:rPr>
            </w:pPr>
            <w:r>
              <w:rPr>
                <w:rFonts w:ascii="Calibri;sans-serif" w:hAnsi="Calibri;sans-serif"/>
                <w:b/>
                <w:color w:val="000000"/>
                <w:sz w:val="20"/>
              </w:rPr>
              <w:t>Percentage of total revenue: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Marketplace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69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Wholesale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691" w:type="dxa"/>
            <w:tcBorders/>
            <w:shd w:fill="CFF0FC"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Product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6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Overall cost of revenue decreased $75.5 million, or 49%, in the six months ended June 30, 2024, compared to the six months ended June 30, 2023.</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Marketplace cost of revenue decreased $3.5 million, or 11%, in the six months ended June 30, 2024, compared to the six months ended June 30, 2023, and represented 6% of total revenue for the six months ended June 30, 2024, compared to 7% of total revenue for the six months ended June 30, 2023. The decrease was due primarily to a $2.6 million decrease in fees related to provisioning advertising campaigns on our websites.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Wholesale cost of revenue decreased $19.6 million, or 42%, in the six months ended June 30, 2024, compared to the six months ended June 30, 2023, and represented 6% of total revenue for the six months ended June 30, 2024, compared to 10% of total revenue for the six months ended June 30, 2023. The decrease was due primarily to a $9.4 million decrease in transportation expense and a $2.4 million decrease in inspection expense as a result of lower Transaction volume. The decrease was also due in part to a $7.0 million decrease in amortization, primarily due to the acquired developed technology intangible asset as it became fully amortized during the first quarter of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cost of revenue decreased $52.4 million, or 70%, in the six months ended June 30, 2024, compared to the six months ended June 30, 2023, and represented 5% of total revenue for the six months ended June 30, 2024, compared to 16% of total revenue for the six months ended June 30, 2023. The decrease was due primarily to a decrease in expenses related to vehicles sold to dealers through IMCO transactions as a result of decreased Transactions. The decrease in product cost of revenue was also due in part to a decrease in expenses related to vehicles sold to dealers acquired through arbitration as a result of decreased arbitration claims primarily due to lower Transaction volume.</w:t>
      </w:r>
    </w:p>
    <w:p>
      <w:pPr>
        <w:pStyle w:val="TextBody"/>
        <w:bidi w:val="0"/>
        <w:spacing w:before="24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40" w:after="283"/>
        <w:jc w:val="both"/>
        <w:rPr>
          <w:rFonts w:ascii="Times New Roman" w:hAnsi="Times New Roman"/>
          <w:sz w:val="20"/>
        </w:rPr>
      </w:pPr>
      <w:r>
        <w:rPr>
          <w:rFonts w:ascii="Calibri;sans-serif" w:hAnsi="Calibri;sans-serif"/>
          <w:i/>
          <w:color w:val="000000"/>
          <w:sz w:val="20"/>
        </w:rPr>
        <w:t>Sales and Marketing Expense</w:t>
      </w:r>
      <w:r>
        <w:rPr>
          <w:rFonts w:ascii="Times New Roman" w:hAnsi="Times New Roman"/>
          <w:color w:val="000000"/>
          <w:sz w:val="20"/>
        </w:rPr>
        <w:t xml:space="preserve"> </w:t>
      </w:r>
    </w:p>
    <w:p>
      <w:pPr>
        <w:pStyle w:val="TextBody"/>
        <w:bidi w:val="0"/>
        <w:jc w:val="both"/>
        <w:rPr/>
      </w:pPr>
      <w:r>
        <w:rPr/>
        <w:t> </w:t>
      </w:r>
    </w:p>
    <w:tbl>
      <w:tblPr>
        <w:tblW w:w="7022" w:type="dxa"/>
        <w:jc w:val="left"/>
        <w:tblInd w:w="0" w:type="dxa"/>
        <w:tblLayout w:type="fixed"/>
        <w:tblCellMar>
          <w:top w:w="28" w:type="dxa"/>
          <w:left w:w="28" w:type="dxa"/>
          <w:bottom w:w="28" w:type="dxa"/>
          <w:right w:w="28" w:type="dxa"/>
        </w:tblCellMar>
      </w:tblPr>
      <w:tblGrid>
        <w:gridCol w:w="2296"/>
        <w:gridCol w:w="146"/>
        <w:gridCol w:w="211"/>
        <w:gridCol w:w="781"/>
        <w:gridCol w:w="241"/>
        <w:gridCol w:w="146"/>
        <w:gridCol w:w="211"/>
        <w:gridCol w:w="781"/>
        <w:gridCol w:w="241"/>
        <w:gridCol w:w="146"/>
        <w:gridCol w:w="211"/>
        <w:gridCol w:w="676"/>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9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164,585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153,415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Sales and marketing expense increased $11.2 million, or 7%, in the six months ended June 30, 2024, compared to the six months ended June 30, 2023. The increase was due primarily to a $10.7 million increase in advertising and marketing expense for strategic advertising spend with our performance marketing vendors to maintain year-over-year lead volume and grow with the market. The increase in sales and marketing expense was further driven by our new brand campaign and marketing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i/>
          <w:color w:val="000000"/>
          <w:sz w:val="20"/>
        </w:rPr>
        <w:t>Product, Technology, and Development Expense</w:t>
      </w:r>
      <w:r>
        <w:rPr>
          <w:rFonts w:ascii="Times New Roman" w:hAnsi="Times New Roman"/>
          <w:color w:val="000000"/>
          <w:sz w:val="20"/>
        </w:rPr>
        <w:t xml:space="preserve"> </w:t>
      </w:r>
    </w:p>
    <w:p>
      <w:pPr>
        <w:pStyle w:val="TextBody"/>
        <w:bidi w:val="0"/>
        <w:jc w:val="both"/>
        <w:rPr/>
      </w:pPr>
      <w:r>
        <w:rPr/>
        <w:t> </w:t>
      </w:r>
    </w:p>
    <w:tbl>
      <w:tblPr>
        <w:tblW w:w="7792" w:type="dxa"/>
        <w:jc w:val="left"/>
        <w:tblInd w:w="0" w:type="dxa"/>
        <w:tblLayout w:type="fixed"/>
        <w:tblCellMar>
          <w:top w:w="28" w:type="dxa"/>
          <w:left w:w="28" w:type="dxa"/>
          <w:bottom w:w="28" w:type="dxa"/>
          <w:right w:w="28" w:type="dxa"/>
        </w:tblCellMar>
      </w:tblPr>
      <w:tblGrid>
        <w:gridCol w:w="3181"/>
        <w:gridCol w:w="146"/>
        <w:gridCol w:w="211"/>
        <w:gridCol w:w="676"/>
        <w:gridCol w:w="241"/>
        <w:gridCol w:w="146"/>
        <w:gridCol w:w="211"/>
        <w:gridCol w:w="676"/>
        <w:gridCol w:w="241"/>
        <w:gridCol w:w="146"/>
        <w:gridCol w:w="211"/>
        <w:gridCol w:w="631"/>
        <w:gridCol w:w="166"/>
        <w:gridCol w:w="146"/>
        <w:gridCol w:w="146"/>
        <w:gridCol w:w="271"/>
        <w:gridCol w:w="34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1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technology,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72,125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73,998</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(1,873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18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Product, technology, and development expense decreased $1.9 million, or 3%, in the six months ended June 30, 2024, compared to the six months ended June 30, 2023. The decrease was due primarily to a $4.6 million decrease in expenses as a result of increased website development capitalization and a $1.7 million decrease in consulting services. The decrease was offset in part by a $2.5 million increase in salaries and employee-related expenses due primarily to merit increases and a $0.9 million increase in software subscriptions.</w:t>
      </w:r>
    </w:p>
    <w:p>
      <w:pPr>
        <w:pStyle w:val="TextBody"/>
        <w:bidi w:val="0"/>
        <w:spacing w:before="240" w:after="283"/>
        <w:jc w:val="both"/>
        <w:rPr>
          <w:rFonts w:ascii="Times New Roman" w:hAnsi="Times New Roman"/>
          <w:sz w:val="20"/>
        </w:rPr>
      </w:pPr>
      <w:r>
        <w:rPr>
          <w:rFonts w:ascii="Calibri;sans-serif" w:hAnsi="Calibri;sans-serif"/>
          <w:i/>
          <w:color w:val="000000"/>
          <w:sz w:val="20"/>
        </w:rPr>
        <w:t>General and Administrative Expense</w:t>
      </w:r>
      <w:r>
        <w:rPr>
          <w:rFonts w:ascii="Times New Roman" w:hAnsi="Times New Roman"/>
          <w:color w:val="000000"/>
          <w:sz w:val="20"/>
        </w:rPr>
        <w:t xml:space="preserve"> </w:t>
      </w:r>
    </w:p>
    <w:p>
      <w:pPr>
        <w:pStyle w:val="TextBody"/>
        <w:bidi w:val="0"/>
        <w:jc w:val="both"/>
        <w:rPr/>
      </w:pPr>
      <w:r>
        <w:rPr/>
        <w:t> </w:t>
      </w:r>
    </w:p>
    <w:tbl>
      <w:tblPr>
        <w:tblW w:w="6707" w:type="dxa"/>
        <w:jc w:val="left"/>
        <w:tblInd w:w="0" w:type="dxa"/>
        <w:tblLayout w:type="fixed"/>
        <w:tblCellMar>
          <w:top w:w="28" w:type="dxa"/>
          <w:left w:w="28" w:type="dxa"/>
          <w:bottom w:w="28" w:type="dxa"/>
          <w:right w:w="28" w:type="dxa"/>
        </w:tblCellMar>
      </w:tblPr>
      <w:tblGrid>
        <w:gridCol w:w="2296"/>
        <w:gridCol w:w="146"/>
        <w:gridCol w:w="211"/>
        <w:gridCol w:w="676"/>
        <w:gridCol w:w="241"/>
        <w:gridCol w:w="146"/>
        <w:gridCol w:w="211"/>
        <w:gridCol w:w="676"/>
        <w:gridCol w:w="241"/>
        <w:gridCol w:w="146"/>
        <w:gridCol w:w="211"/>
        <w:gridCol w:w="571"/>
        <w:gridCol w:w="146"/>
        <w:gridCol w:w="146"/>
        <w:gridCol w:w="146"/>
        <w:gridCol w:w="211"/>
        <w:gridCol w:w="28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79"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86" w:type="dxa"/>
            <w:tcBorders/>
            <w:shd w:fill="FFFFFF" w:val="cle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55,495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52,186</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2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29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5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Calibri;sans-serif" w:hAnsi="Calibri;sans-serif"/>
          <w:color w:val="000000"/>
          <w:sz w:val="20"/>
        </w:rPr>
        <w:t>General and administrative expense increased $3.3 million, or 6%, in the six months ended June 30, 2024, compared to the six months ended June 30, 2023. The increase was due primarily to a $3.4 million increase in salaries and employee-related expenses, due primarily to an 8% increase in headcount and merit increases.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Goodwill and Other Long-Lived Asset Impairment</w:t>
      </w:r>
    </w:p>
    <w:p>
      <w:pPr>
        <w:pStyle w:val="TextBody"/>
        <w:bidi w:val="0"/>
        <w:jc w:val="both"/>
        <w:rPr/>
      </w:pPr>
      <w:r>
        <w:rPr/>
        <w:t> </w:t>
      </w:r>
    </w:p>
    <w:tbl>
      <w:tblPr>
        <w:tblW w:w="8270" w:type="dxa"/>
        <w:jc w:val="left"/>
        <w:tblInd w:w="0" w:type="dxa"/>
        <w:tblLayout w:type="fixed"/>
        <w:tblCellMar>
          <w:top w:w="28" w:type="dxa"/>
          <w:left w:w="28" w:type="dxa"/>
          <w:bottom w:w="28" w:type="dxa"/>
          <w:right w:w="28" w:type="dxa"/>
        </w:tblCellMar>
      </w:tblPr>
      <w:tblGrid>
        <w:gridCol w:w="3871"/>
        <w:gridCol w:w="146"/>
        <w:gridCol w:w="211"/>
        <w:gridCol w:w="781"/>
        <w:gridCol w:w="241"/>
        <w:gridCol w:w="146"/>
        <w:gridCol w:w="211"/>
        <w:gridCol w:w="346"/>
        <w:gridCol w:w="241"/>
        <w:gridCol w:w="146"/>
        <w:gridCol w:w="211"/>
        <w:gridCol w:w="781"/>
        <w:gridCol w:w="146"/>
        <w:gridCol w:w="146"/>
        <w:gridCol w:w="646"/>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53" w:type="dxa"/>
            <w:gridSpan w:val="13"/>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r>
      <w:tr>
        <w:trPr/>
        <w:tc>
          <w:tcPr>
            <w:tcW w:w="387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Goodwill and other long-lived asset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127,475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sz w:val="20"/>
              </w:rPr>
            </w:pPr>
            <w:r>
              <w:rPr>
                <w:rFonts w:ascii="Calibri;sans-serif" w:hAnsi="Calibri;sans-serif"/>
                <w:color w:val="000000"/>
                <w:sz w:val="20"/>
              </w:rPr>
              <w:t xml:space="preserve">NM </w:t>
            </w:r>
            <w:r>
              <w:rPr>
                <w:rFonts w:ascii="Calibri;sans-serif" w:hAnsi="Calibri;sans-serif"/>
                <w:color w:val="000000"/>
                <w:sz w:val="13"/>
              </w:rPr>
              <w:t>(1)</w:t>
            </w:r>
          </w:p>
        </w:tc>
      </w:tr>
      <w:tr>
        <w:trPr/>
        <w:tc>
          <w:tcPr>
            <w:tcW w:w="387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Not meaningful</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Goodwill and other long-lived asset Impairment increased $127.5 million in the six months ended June 30, 2024, compared to the six months ended June 30, 2023. During the three months ended June 30, 2024, we identified a triggering event for goodwill and other long-lived assets impairment testing purposes at the CarOffer reporting unit due to recent organizational changes and Transaction volume declines, which resulted in revisions to our financial projections for the CarOffer reporting unit. As a result, we performed an updated fair value analysis of the CarOffer reporting unit, and subsequently recognized impairment losses of $4.7 million, $7.5 million, and $115.2 million for right-of-use assets, intangible assets, and goodwill, respectively. For further discussion of impairments related to right-of-use assets, intangible assets, and goodwill in the CarOffer reporting unit, refer to Note 6 of the Unaudited Condensed Consolidated Financial Statements included elsewhere in this Quarterly Report.</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i/>
          <w:color w:val="000000"/>
          <w:sz w:val="20"/>
        </w:rPr>
        <w:t>Depreciation and Amortization Expense</w:t>
      </w:r>
      <w:r>
        <w:rPr>
          <w:rFonts w:ascii="Times New Roman" w:hAnsi="Times New Roman"/>
          <w:color w:val="000000"/>
          <w:sz w:val="20"/>
        </w:rPr>
        <w:t xml:space="preserve"> </w:t>
      </w:r>
    </w:p>
    <w:p>
      <w:pPr>
        <w:pStyle w:val="TextBody"/>
        <w:bidi w:val="0"/>
        <w:jc w:val="both"/>
        <w:rPr/>
      </w:pPr>
      <w:r>
        <w:rPr/>
        <w:t> </w:t>
      </w:r>
    </w:p>
    <w:tbl>
      <w:tblPr>
        <w:tblW w:w="7027" w:type="dxa"/>
        <w:jc w:val="left"/>
        <w:tblInd w:w="0" w:type="dxa"/>
        <w:tblLayout w:type="fixed"/>
        <w:tblCellMar>
          <w:top w:w="28" w:type="dxa"/>
          <w:left w:w="28" w:type="dxa"/>
          <w:bottom w:w="28" w:type="dxa"/>
          <w:right w:w="28" w:type="dxa"/>
        </w:tblCellMar>
      </w:tblPr>
      <w:tblGrid>
        <w:gridCol w:w="2521"/>
        <w:gridCol w:w="146"/>
        <w:gridCol w:w="211"/>
        <w:gridCol w:w="571"/>
        <w:gridCol w:w="241"/>
        <w:gridCol w:w="146"/>
        <w:gridCol w:w="211"/>
        <w:gridCol w:w="571"/>
        <w:gridCol w:w="241"/>
        <w:gridCol w:w="146"/>
        <w:gridCol w:w="211"/>
        <w:gridCol w:w="631"/>
        <w:gridCol w:w="166"/>
        <w:gridCol w:w="146"/>
        <w:gridCol w:w="146"/>
        <w:gridCol w:w="376"/>
        <w:gridCol w:w="34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1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25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5,025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7,725</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(2,700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5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Depreciation and amortization expense decreased $2.7 million, or 35%, in the six months ended June 30, 2024, compared to the six months ended June 30, 2023. The decrease was due primarily to the customer relationships intangible asset related to the Digital Wholesale segment becoming fully amortized during the first quarter of 2024.</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Other Income, net</w:t>
      </w:r>
    </w:p>
    <w:p>
      <w:pPr>
        <w:pStyle w:val="TextBody"/>
        <w:bidi w:val="0"/>
        <w:jc w:val="both"/>
        <w:rPr/>
      </w:pPr>
      <w:r>
        <w:rPr/>
        <w:t> </w:t>
      </w:r>
    </w:p>
    <w:tbl>
      <w:tblPr>
        <w:tblW w:w="7062" w:type="dxa"/>
        <w:jc w:val="left"/>
        <w:tblInd w:w="0" w:type="dxa"/>
        <w:tblLayout w:type="fixed"/>
        <w:tblCellMar>
          <w:top w:w="28" w:type="dxa"/>
          <w:left w:w="28" w:type="dxa"/>
          <w:bottom w:w="28" w:type="dxa"/>
          <w:right w:w="28" w:type="dxa"/>
        </w:tblCellMar>
      </w:tblPr>
      <w:tblGrid>
        <w:gridCol w:w="2491"/>
        <w:gridCol w:w="146"/>
        <w:gridCol w:w="211"/>
        <w:gridCol w:w="571"/>
        <w:gridCol w:w="241"/>
        <w:gridCol w:w="146"/>
        <w:gridCol w:w="211"/>
        <w:gridCol w:w="571"/>
        <w:gridCol w:w="241"/>
        <w:gridCol w:w="146"/>
        <w:gridCol w:w="211"/>
        <w:gridCol w:w="631"/>
        <w:gridCol w:w="166"/>
        <w:gridCol w:w="146"/>
        <w:gridCol w:w="146"/>
        <w:gridCol w:w="376"/>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1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411" w:type="dxa"/>
            <w:tcBorders/>
            <w:shd w:fill="FFFFFF" w:val="cle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6,346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8,076</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w:t>
            </w:r>
          </w:p>
        </w:tc>
        <w:tc>
          <w:tcPr>
            <w:tcW w:w="4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6,562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9,018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49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total revenue: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24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49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Total other income, net decreased $2.5 million, or 27%, in the six months ended June 30, 2024, compared to the six months ended June 30, 2023. The $1.7 million decrease in interest income was due primarily to the decrease in cash equivalents to fund the 2024 Share Repurchase Program. The decrease in interest income was also due in part to the sale of short-term investments during the first quarter of 2024. The $0.7 million decrease in other income, net was due primarily to immaterial foreign currency losses in the current year compared to immaterial foreign currency gains in the prior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(Benefit from) Provision for Income Taxes</w:t>
      </w:r>
      <w:r>
        <w:rPr>
          <w:rFonts w:ascii="Times New Roman" w:hAnsi="Times New Roman"/>
          <w:color w:val="000000"/>
          <w:sz w:val="20"/>
        </w:rPr>
        <w:t xml:space="preserve"> </w:t>
      </w:r>
    </w:p>
    <w:p>
      <w:pPr>
        <w:pStyle w:val="TextBody"/>
        <w:bidi w:val="0"/>
        <w:jc w:val="both"/>
        <w:rPr/>
      </w:pPr>
      <w:r>
        <w:rPr/>
        <w:t> </w:t>
      </w:r>
    </w:p>
    <w:tbl>
      <w:tblPr>
        <w:tblW w:w="8422" w:type="dxa"/>
        <w:jc w:val="left"/>
        <w:tblInd w:w="0" w:type="dxa"/>
        <w:tblLayout w:type="fixed"/>
        <w:tblCellMar>
          <w:top w:w="28" w:type="dxa"/>
          <w:left w:w="28" w:type="dxa"/>
          <w:bottom w:w="28" w:type="dxa"/>
          <w:right w:w="28" w:type="dxa"/>
        </w:tblCellMar>
      </w:tblPr>
      <w:tblGrid>
        <w:gridCol w:w="3376"/>
        <w:gridCol w:w="146"/>
        <w:gridCol w:w="211"/>
        <w:gridCol w:w="736"/>
        <w:gridCol w:w="301"/>
        <w:gridCol w:w="146"/>
        <w:gridCol w:w="211"/>
        <w:gridCol w:w="676"/>
        <w:gridCol w:w="241"/>
        <w:gridCol w:w="146"/>
        <w:gridCol w:w="211"/>
        <w:gridCol w:w="736"/>
        <w:gridCol w:w="166"/>
        <w:gridCol w:w="146"/>
        <w:gridCol w:w="146"/>
        <w:gridCol w:w="481"/>
        <w:gridCol w:w="34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5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46" w:type="dxa"/>
            <w:tcBorders/>
            <w:shd w:fill="FFFFFF" w:val="cle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(Benefit from) 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(13,318</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15,132</w:t>
            </w:r>
          </w:p>
        </w:tc>
        <w:tc>
          <w:tcPr>
            <w:tcW w:w="2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(28,450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(188</w:t>
            </w:r>
          </w:p>
        </w:tc>
        <w:tc>
          <w:tcPr>
            <w:tcW w:w="3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3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Percentage of 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(Benefit from) provision for income taxes changed $28.5 million, or 188%, in the six months ended June 30, 2024, compared to the six months ended June 30, 2023, primarily due to increased federal and state research and development tax credits and a $31.5 million discrete deferred tax benefit in association with the goodwill and long-term assets impairment charges related to the CarOffer reporting unit recognized during the six months ended June 30, 2024 This was partially offset by a net $1.6 million tax expense related to the windfalls on the taxable compensation of stock-based awards and the Section 162(m) excess officer compensation limitation recognized during the six months ended June 30, 2024, compared to an aggregated $4.2 million shortfalls on the taxable compensation of stock-based awards and the Section 162(m) excess officer compensation limitation recognized during the six months ended June 30, 2023.</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Segment Income (Loss) from Operations</w:t>
      </w:r>
    </w:p>
    <w:p>
      <w:pPr>
        <w:pStyle w:val="TextBody"/>
        <w:bidi w:val="0"/>
        <w:jc w:val="both"/>
        <w:rPr/>
      </w:pPr>
      <w:r>
        <w:rPr/>
        <w:t> </w:t>
      </w:r>
    </w:p>
    <w:tbl>
      <w:tblPr>
        <w:tblW w:w="8827" w:type="dxa"/>
        <w:jc w:val="left"/>
        <w:tblInd w:w="0" w:type="dxa"/>
        <w:tblLayout w:type="fixed"/>
        <w:tblCellMar>
          <w:top w:w="28" w:type="dxa"/>
          <w:left w:w="28" w:type="dxa"/>
          <w:bottom w:w="28" w:type="dxa"/>
          <w:right w:w="28" w:type="dxa"/>
        </w:tblCellMar>
      </w:tblPr>
      <w:tblGrid>
        <w:gridCol w:w="3466"/>
        <w:gridCol w:w="146"/>
        <w:gridCol w:w="211"/>
        <w:gridCol w:w="841"/>
        <w:gridCol w:w="301"/>
        <w:gridCol w:w="146"/>
        <w:gridCol w:w="211"/>
        <w:gridCol w:w="736"/>
        <w:gridCol w:w="241"/>
        <w:gridCol w:w="146"/>
        <w:gridCol w:w="211"/>
        <w:gridCol w:w="841"/>
        <w:gridCol w:w="166"/>
        <w:gridCol w:w="146"/>
        <w:gridCol w:w="146"/>
        <w:gridCol w:w="48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24" w:type="dxa"/>
            <w:gridSpan w:val="14"/>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39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Segment Income (Loss) from Operations: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4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76,260</w:t>
            </w:r>
          </w:p>
        </w:tc>
        <w:tc>
          <w:tcPr>
            <w:tcW w:w="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51,158</w:t>
            </w:r>
          </w:p>
        </w:tc>
        <w:tc>
          <w:tcPr>
            <w:tcW w:w="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(148,498</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(17,532</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(130,966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(747</w:t>
            </w:r>
          </w:p>
        </w:tc>
        <w:tc>
          <w:tcPr>
            <w:tcW w:w="39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4,938</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(1,829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(67,300</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31,797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46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Percentage of segment revenue:</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4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U.S. Marketplace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w:t>
            </w:r>
          </w:p>
        </w:tc>
        <w:tc>
          <w:tcPr>
            <w:tcW w:w="3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w:t>
            </w:r>
          </w:p>
        </w:tc>
        <w:tc>
          <w:tcPr>
            <w:tcW w:w="24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4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Digital Wholesale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(285</w:t>
            </w:r>
          </w:p>
        </w:tc>
        <w:tc>
          <w:tcPr>
            <w:tcW w:w="3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w:t>
            </w:r>
          </w:p>
        </w:tc>
        <w:tc>
          <w:tcPr>
            <w:tcW w:w="24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4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U.S. Marketplace segment income from operations increased $25.1 million, or 49%, in the six months ended June 30, 2024, compared to the six months ended June 30, 2023, and represented 22% of U.S. Marketplace segment revenue for the six months ended June 30, 2024, compared to 16% of U.S. Marketplace segment revenue for the six months ended June 30, 2023. The increase was due to an increase in revenue of $39.0 million, a decrease in cost of revenue of $3.4 million, and an increase in operating expenses of $17.3 million.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Digital Wholesale segment loss from operations increased $131.0 million, or 747%, in the six months ended June 30, 2024, compared to the six months ended June 30, 2023, and represented (285)% of Digital Wholesale segment revenue for the six months ended June 30, 2024, compared to (13)% of Digital Wholesale segment revenue for the six months ended June 30, 2023. The increase in the loss was due to a decrease in revenue of $81.5 million, a decrease in cost of revenue of $72.0 million, and an increase in operating expenses of $121.5 million. The increase in operating expenses was inclusive of $127.5 million of impairment expense related to the CarOffer reporting unit. For further discussion of impairments related to right-of-use assets, intangible assets and goodwill in the CarOffer reporting unit, refer to Note 6 of the Unaudited Condensed Consolidated Financial Statements included elsewhere in this Quarterly Report.</w:t>
      </w:r>
    </w:p>
    <w:p>
      <w:pPr>
        <w:pStyle w:val="TextBody"/>
        <w:bidi w:val="0"/>
        <w:spacing w:before="240" w:after="283"/>
        <w:jc w:val="both"/>
        <w:rPr>
          <w:rFonts w:ascii="Times New Roman" w:hAnsi="Times New Roman"/>
          <w:sz w:val="20"/>
        </w:rPr>
      </w:pPr>
      <w:r>
        <w:rPr>
          <w:rFonts w:ascii="Calibri;sans-serif" w:hAnsi="Calibri;sans-serif"/>
          <w:b/>
          <w:color w:val="000000"/>
          <w:sz w:val="20"/>
        </w:rPr>
        <w:t>Liquidity and Capital Resources</w:t>
      </w:r>
      <w:r>
        <w:rPr>
          <w:rFonts w:ascii="Times New Roman" w:hAnsi="Times New Roman"/>
          <w:color w:val="000000"/>
          <w:sz w:val="20"/>
        </w:rPr>
        <w:t xml:space="preserve"> </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Cash, Cash Equivalents, Short-term Investments, and Borrowing Capacity</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our principal sources of liquidity were cash and cash equivalents of $216.2 million. As of December 31, 2023, our principal sources of liquidity were cash and cash equivalents of $291.4 million and short-term investments of $20.7 million. As of June 30, 2024, our borrowing capacity under the 2022 Revolver (as defined below) was $390.6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Sources and Uses of Cash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six months ended June 30, 2024 and 2023, our cash flows from operating, investing, and financing activities, as reflected in the Unaudited Condensed Consolidated Statements of Cash Flows, were as follows:</w:t>
      </w:r>
      <w:r>
        <w:rPr>
          <w:rFonts w:ascii="Times New Roman" w:hAnsi="Times New Roman"/>
          <w:color w:val="000000"/>
          <w:sz w:val="20"/>
        </w:rPr>
        <w:t xml:space="preserve"> </w:t>
      </w:r>
    </w:p>
    <w:p>
      <w:pPr>
        <w:pStyle w:val="TextBody"/>
        <w:bidi w:val="0"/>
        <w:jc w:val="both"/>
        <w:rPr/>
      </w:pPr>
      <w:r>
        <w:rPr/>
        <w:t> </w:t>
      </w:r>
    </w:p>
    <w:tbl>
      <w:tblPr>
        <w:tblW w:w="7439" w:type="dxa"/>
        <w:jc w:val="left"/>
        <w:tblInd w:w="0" w:type="dxa"/>
        <w:tblLayout w:type="fixed"/>
        <w:tblCellMar>
          <w:top w:w="28" w:type="dxa"/>
          <w:left w:w="28" w:type="dxa"/>
          <w:bottom w:w="28" w:type="dxa"/>
          <w:right w:w="28" w:type="dxa"/>
        </w:tblCellMar>
      </w:tblPr>
      <w:tblGrid>
        <w:gridCol w:w="4666"/>
        <w:gridCol w:w="146"/>
        <w:gridCol w:w="211"/>
        <w:gridCol w:w="841"/>
        <w:gridCol w:w="166"/>
        <w:gridCol w:w="146"/>
        <w:gridCol w:w="211"/>
        <w:gridCol w:w="841"/>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 xml:space="preserve">Six Months Ended </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(dollars in thousands)</w:t>
            </w:r>
          </w:p>
        </w:tc>
        <w:tc>
          <w:tcPr>
            <w:tcW w:w="211" w:type="dxa"/>
            <w:tcBorders/>
            <w:shd w:fill="FFFFFF" w:val="clear"/>
            <w:vAlign w:val="center"/>
          </w:tcPr>
          <w:p>
            <w:pPr>
              <w:pStyle w:val="TableContents"/>
              <w:bidi w:val="0"/>
              <w:spacing w:before="0" w:after="283"/>
              <w:jc w:val="center"/>
              <w:rPr/>
            </w:pPr>
            <w:r>
              <w:rPr/>
              <w:t> </w:t>
            </w:r>
          </w:p>
        </w:tc>
      </w:tr>
      <w:tr>
        <w:trPr/>
        <w:tc>
          <w:tcPr>
            <w:tcW w:w="46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95,681</w:t>
            </w:r>
          </w:p>
        </w:tc>
        <w:tc>
          <w:tcPr>
            <w:tcW w:w="21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(44,373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(104,334</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(153,975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(101,069</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Impact of foreign currency on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(109,511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Our operations have been financed primarily from operating activities. During the six months ended June 30, 2024 and 2023, we generated cash from operating activities of $123.6 million and $95.7 million, respectively.</w:t>
      </w:r>
    </w:p>
    <w:p>
      <w:pPr>
        <w:pStyle w:val="TextBody"/>
        <w:bidi w:val="0"/>
        <w:spacing w:before="240" w:after="283"/>
        <w:jc w:val="both"/>
        <w:rPr>
          <w:rFonts w:ascii="Times New Roman" w:hAnsi="Times New Roman"/>
          <w:sz w:val="20"/>
        </w:rPr>
      </w:pPr>
      <w:r>
        <w:rPr>
          <w:rFonts w:ascii="Calibri;sans-serif" w:hAnsi="Calibri;sans-serif"/>
          <w:color w:val="000000"/>
          <w:sz w:val="20"/>
        </w:rPr>
        <w:t>We believe that our existing sources of liquidity, including access to the 2022 Revolver, will be sufficient to fund our operations for at least the next 12 months from the date of the filing of this Quarterly Report. Our future capital requirements will depend on many factors, including our revenue; expenses associated with our sales and marketing activities and the support of our product, technology, and development efforts; expenses associated with our facilities buildout under our 1001 Boylston Street lease in excess of tenant improvement allowance; payments received in advance from a third-party transaction processor; activity under the 2024 Share Repurchase Program; and our investments in international markets. Cash from operations could also be affected by various risks and uncertainties, including, but not limited to, macroeconomic effects and other risks detailed more specifically in the “Risk Factors” section in Part I, Item 1A in our Annual Report and in the “Risk Factors” section in Part II, Item 1A in this Quarterly Report.</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June 30, 2024, there were no borrowings and $9.4 million in letters of credit outstanding under the 2022 Revolver, which reduced the borrowing capacity under the 2022 Revolver to $390.6 million. As of December 31, 2023, there were no borrowings and $9.6 million in letters of credit outstanding under the 2022 Revolver, which reduced the borrowing capacity under the 2022 Revolver to $390.4 million.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 connection with the 1001 Boylston Street lease, we expect to spend an additional $16.3 million to complete our buildout, of which $11.5 million has been committed and remains unspent as of June 30, 2024. These costs will be partially reimbursable under the tenant improvement allowance.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On November 7, 2023, we announced that our Board of Directors authorized a share repurchase program, or the 2024 Share Repurchase Program, pursuant to which we may, from time to time, purchase shares of our Class A common stock for an aggregate purchase price not to exceed $250.0 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2024 Share Repurchase Program does not obligate us to repurchase any minimum dollar amount or number of shares. The 2024 Share Repurchase Program has an effective date of January 1, 2024, and an expiration date of December 31, 2024, and prior to its expiration may be modified, suspended, or discontinued by our Board of Directors at any time without prior notice. All repurchased shares of our Class A common stock under the 2024 Share Repurchase Program will be retired. We have funded share repurchases and expect to continue to fund any additional share repurchases under the 2024 Share Repurchase Program through cash on hand and cash generated from operations. During the three months ended June 30, 2024, we repurchased and retired 2,654,807 shares for $61.4 million, exclusive of commissions and excise tax, at an average cost of $23.11 per share under the 2024 Share Repurchase Program. During the six months ended June 30, 2024, we repurchased and retired 6,193,001 shares for $142.4 million, exclusive of commissions and excise tax, at an average cost of $23.00 per share under the 2024 Share Repurchase Program. As of June 30, 2024, we had remaining authorization to purchase up to $107.6 million of our Class A common stock under the 2024 Share Repurchase Program.</w:t>
      </w:r>
    </w:p>
    <w:p>
      <w:pPr>
        <w:pStyle w:val="TextBody"/>
        <w:bidi w:val="0"/>
        <w:spacing w:before="240" w:after="283"/>
        <w:jc w:val="both"/>
        <w:rPr>
          <w:rFonts w:ascii="Times New Roman" w:hAnsi="Times New Roman"/>
          <w:sz w:val="20"/>
        </w:rPr>
      </w:pPr>
      <w:r>
        <w:rPr>
          <w:rFonts w:ascii="Calibri;sans-serif" w:hAnsi="Calibri;sans-serif"/>
          <w:color w:val="000000"/>
          <w:sz w:val="20"/>
        </w:rPr>
        <w:t>To the extent that our operating income, existing cash, cash equivalents, and our borrowing capacity under the 2022 Revolver are insufficient to fund our future activities, we may need to raise additional funds through a public or private equity or debt financing. Additional funds may not be available on terms favorable to us, or at all. See “</w:t>
      </w:r>
      <w:r>
        <w:rPr>
          <w:rFonts w:ascii="Calibri;sans-serif" w:hAnsi="Calibri;sans-serif"/>
          <w:i/>
          <w:color w:val="000000"/>
          <w:sz w:val="20"/>
        </w:rPr>
        <w:t xml:space="preserve">Risk Factors—Risks Related to Our Business and Industry—We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Calibri;sans-serif" w:hAnsi="Calibri;sans-serif"/>
          <w:color w:val="000000"/>
          <w:sz w:val="20"/>
        </w:rPr>
        <w:t>in Part I, Item 1A in our Annual Report.</w:t>
      </w:r>
    </w:p>
    <w:p>
      <w:pPr>
        <w:pStyle w:val="TextBody"/>
        <w:bidi w:val="0"/>
        <w:spacing w:before="240" w:after="283"/>
        <w:jc w:val="both"/>
        <w:rPr>
          <w:rFonts w:ascii="Times New Roman" w:hAnsi="Times New Roman"/>
          <w:sz w:val="20"/>
        </w:rPr>
      </w:pPr>
      <w:r>
        <w:rPr>
          <w:rFonts w:ascii="Calibri;sans-serif" w:hAnsi="Calibri;sans-serif"/>
          <w:b/>
          <w:i/>
          <w:color w:val="000000"/>
          <w:sz w:val="20"/>
        </w:rPr>
        <w:t>Operating Activities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Net cash provided by operating activities of $123.6 million during the six months ended June 30, 2024 was due primarily to consolidated net loss of $47.4 million, adjusted for $127.7 million of goodwill and other long-lived asset impairment due to recent organizational changes and Transaction volume declines, which resulted in revisions to the Company’s financial projections for the CarOffer reporting unit, $31.2 million of stock-based compensation expense for equity classified awards to employees, $44.2 million of deferred taxes, and depreciation and amortization expense of $13.1 million. Net cash provided by operating activities was also attributable to a $27.4 million increase in lease obligations primarily related to our new headquarters at 1001 Boylston Street.</w:t>
      </w:r>
    </w:p>
    <w:p>
      <w:pPr>
        <w:pStyle w:val="TextBody"/>
        <w:bidi w:val="0"/>
        <w:spacing w:before="240" w:after="283"/>
        <w:jc w:val="both"/>
        <w:rPr>
          <w:rFonts w:ascii="Times New Roman" w:hAnsi="Times New Roman"/>
          <w:sz w:val="20"/>
        </w:rPr>
      </w:pPr>
      <w:r>
        <w:rPr>
          <w:rFonts w:ascii="Calibri;sans-serif" w:hAnsi="Calibri;sans-serif"/>
          <w:color w:val="000000"/>
          <w:sz w:val="20"/>
        </w:rPr>
        <w:t>Net cash provided by operating activities of $95.7 million during the six months ended June 30, 2023 was due primarily to consolidated net income of $25.7 million, adjusted for $29.5 million of stock-based compensation expense for equity classified awards, $23.2 million of depreciation and amortization, and $5.6 million of amortization of deferred contract costs, partially offset by $16.4 million of deferred taxes and $0.5 million of gain on sale of property and equipment. Net cash provided by operating activities was also attributable to a $13.2 million decrease in accounts receivable, a $9.0 million increase in deferred revenue, a $7.6 million increase in lease obligations, a $4.7 million decrease in inventory, a $4.1 million increase in accounts payable, and a $3.5 million decrease in prepaid expenses, prepaid income taxes, and other assets. The increases in cash flow from operations were partially offset by a $9.7 million increase in deferred contract costs and a $4.1 million decrease in accrued expenses, accrued income taxes, and other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Investing Activities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Net cash used in investing activities of $44.4 million during the six months ended June 30, 2024 was due primarily to $54.6 million in purchases of property and equipment primarily related to our new headquarters at 1001 Boylston Street and $10.7 million in capitalized website development costs due to continued investment in our product offerings, offset in part by $21.2 million in sales of short-term investments.</w:t>
      </w:r>
    </w:p>
    <w:p>
      <w:pPr>
        <w:pStyle w:val="TextBody"/>
        <w:bidi w:val="0"/>
        <w:spacing w:before="240" w:after="283"/>
        <w:jc w:val="both"/>
        <w:rPr>
          <w:rFonts w:ascii="Times New Roman" w:hAnsi="Times New Roman"/>
          <w:sz w:val="20"/>
        </w:rPr>
      </w:pPr>
      <w:r>
        <w:rPr>
          <w:rFonts w:ascii="Calibri;sans-serif" w:hAnsi="Calibri;sans-serif"/>
          <w:color w:val="000000"/>
          <w:sz w:val="20"/>
        </w:rPr>
        <w:t>Net cash used in investing activities of $104.3 million during the six months ended June 30, 2023 was due to $95.5 million in purchases of short-term investments, $7.4 million of capitalization of website development costs, $4.2 million of purchases of property and equipment, and $2.6 million in advance payments to customer, offset in part by $5.0 million of sales of short-term investments and $0.5 million in proceeds from the sale of property and equipment.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b/>
          <w:i/>
          <w:color w:val="000000"/>
          <w:sz w:val="20"/>
        </w:rPr>
        <w:t>Financing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Net cash used in financing activities of $154.0 million during the six months ended June 30, 2024 was due primarily to $142.5 million related to the repurchase of our Class A common stock under the 2024 Share Repurchase Program and $11.4 million related to the payment of withholding taxes on net share settlements of restricted stock units.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Net cash used in financing activities of $101.1 million during the six months ended June 30, 2023 was due primarily to $91.5 million of payment for the repurchase of our Class A common stock under the share repurchase program announced by our Board of Directors in December 2022, pursuant to which we could, from time to time, purchase of shares of our Class A common stock for an aggregate purchase price not to exceed $250.0 million, $6.9 million of payment of withholding taxes on net share settlements of restricted stock units, and $2.7 million of change in gross advance payments received from third-party transaction processor.</w:t>
      </w:r>
    </w:p>
    <w:p>
      <w:pPr>
        <w:pStyle w:val="TextBody"/>
        <w:bidi w:val="0"/>
        <w:spacing w:before="240" w:after="283"/>
        <w:jc w:val="both"/>
        <w:rPr>
          <w:rFonts w:ascii="Times New Roman" w:hAnsi="Times New Roman"/>
          <w:sz w:val="20"/>
        </w:rPr>
      </w:pPr>
      <w:r>
        <w:rPr>
          <w:rFonts w:ascii="Calibri;sans-serif" w:hAnsi="Calibri;sans-serif"/>
          <w:b/>
          <w:color w:val="000000"/>
          <w:sz w:val="20"/>
        </w:rPr>
        <w:t>Contractual Obligations and Known Future Cash Requirements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there were no material changes in our contractual obligations and commitments from those disclosed in our Annual Report, other than those appearing in the notes to the Unaudited Condensed Consolidated Financial Statements included elsewhere in this Quarterly Report, which are hereby incorporated by reference.</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Seasonality</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Across the retail automotive industry, consumer purchases are typically greatest in the first three quarters of each year, due in part to the introduction of new vehicle models from manufacturers and the seasonal nature of consumer spending. Additionally, the volume of wholesale vehicle sales can fluctuate from quarter to quarter driven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pStyle w:val="TextBody"/>
        <w:bidi w:val="0"/>
        <w:spacing w:before="240" w:after="283"/>
        <w:jc w:val="both"/>
        <w:rPr>
          <w:rFonts w:ascii="Times New Roman" w:hAnsi="Times New Roman"/>
          <w:sz w:val="20"/>
        </w:rPr>
      </w:pPr>
      <w:r>
        <w:rPr>
          <w:rFonts w:ascii="Calibri;sans-serif" w:hAnsi="Calibri;sans-serif"/>
          <w:color w:val="000000"/>
          <w:sz w:val="20"/>
        </w:rPr>
        <w:t>Macroeconomic conditions, such as slower growth or recession, higher interest rates, unemployment, consumer confidence in the economy, consumer debt levels, labor, disruptions, work stoppages, or strikes, the ongoing military conflict between Russia and Ukraine, the conflict in Israel and surrounding areas and the possible expansion of such conflict, foreign currency exchange rate fluctuations, and other matters that influence consumer spending and preferences, can also impact the volume of wholesale vehicle sales, as was evidenced by the global semiconductor chip shortage and other supply related shortages.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Digital Wholesale segment operating results have reflected the general seasonality of the wholesale vehicle sales market and macroeconomic conditions of the automotive industry.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as our business and markets mature.</w:t>
      </w:r>
    </w:p>
    <w:p>
      <w:pPr>
        <w:pStyle w:val="TextBody"/>
        <w:bidi w:val="0"/>
        <w:spacing w:before="240" w:after="283"/>
        <w:jc w:val="both"/>
        <w:rPr>
          <w:rFonts w:ascii="Times New Roman" w:hAnsi="Times New Roman"/>
          <w:sz w:val="20"/>
        </w:rPr>
      </w:pPr>
      <w:r>
        <w:rPr>
          <w:rFonts w:ascii="Calibri;sans-serif" w:hAnsi="Calibri;sans-serif"/>
          <w:color w:val="000000"/>
          <w:sz w:val="20"/>
        </w:rPr>
        <w:t>As a result, revenue and cost of revenue related to volume will fluctuate accordingly on a quarterly basis. Typical seasonality trends may not be observed in periods where other external factors more significantly impact the wholesale industry.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color w:val="000000"/>
          <w:sz w:val="20"/>
        </w:rPr>
        <w:t>Off-Balance Sheet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As of June 30, 2024 and December 31, 2023, we did not have any off-balance sheet arrangement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r>
        <w:rPr>
          <w:rFonts w:ascii="Times New Roman" w:hAnsi="Times New Roman"/>
          <w:color w:val="000000"/>
          <w:sz w:val="20"/>
        </w:rPr>
        <w:t xml:space="preserve"> </w:t>
      </w:r>
    </w:p>
    <w:p>
      <w:pPr>
        <w:pStyle w:val="TextBody"/>
        <w:bidi w:val="0"/>
        <w:spacing w:before="240" w:after="283"/>
        <w:jc w:val="both"/>
        <w:rPr>
          <w:rFonts w:ascii="Calibri;sans-serif" w:hAnsi="Calibri;sans-serif"/>
          <w:b/>
          <w:color w:val="000000"/>
          <w:sz w:val="20"/>
        </w:rPr>
      </w:pPr>
      <w:r>
        <w:rPr>
          <w:rFonts w:ascii="Calibri;sans-serif" w:hAnsi="Calibri;sans-serif"/>
          <w:b/>
          <w:color w:val="000000"/>
          <w:sz w:val="20"/>
        </w:rPr>
        <w:t>Critical Accounting Estimates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Calibri;sans-serif" w:hAnsi="Calibri;sans-serif"/>
          <w:color w:val="000000"/>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Critical estimates relied upon in preparing the Unaudited Condensed Consolidated Financial Statements include the determination of sales allowance and variable consideration in our revenue recognition, allowance for doubtful accounts, the impairment of long-lived assets, the capitalization of product, technology, and development costs for website development, internal-use software and hosting arrangements, the valuation of acquired assets and liabilities, the valuation and recoverability of intangible assets and goodwill, the valuation of redeemable noncontrolling interest, the recoverability of our net deferred tax assets and related valuation allowance, the valuation of inventory, and the valuation of liability-classified compensation awards. Accordingly, we consider these to be our critical accounting estimates and believe that of our significant accounting policies, these involve the greatest degree of judgment and complexity. For the three and six months ended June 30, 2024, there were no estimates related to the valuation of redeemable noncontrolling interest and the valuation of liability-classified compensation awards.</w:t>
      </w:r>
    </w:p>
    <w:p>
      <w:pPr>
        <w:pStyle w:val="TextBody"/>
        <w:bidi w:val="0"/>
        <w:spacing w:before="240" w:after="283"/>
        <w:jc w:val="both"/>
        <w:rPr>
          <w:rFonts w:ascii="Times New Roman" w:hAnsi="Times New Roman"/>
          <w:sz w:val="20"/>
        </w:rPr>
      </w:pPr>
      <w:r>
        <w:rPr>
          <w:rFonts w:ascii="Calibri;sans-serif" w:hAnsi="Calibri;sans-serif"/>
          <w:color w:val="000000"/>
          <w:sz w:val="20"/>
        </w:rPr>
        <w:t>During the three months ended June 30, 2024, we identified a triggering event for goodwill and other long-lived assets impairment testing purposes at the CarOffer reporting unit due to recent organizational changes and Transaction volume declines, which resulted in revisions to our financial projections for the CarOffer reporting unit. We performed an updated fair value analysis of the CarOffer reporting unit, resulting in an excess of carrying value over fair value of the CarOffer reporting unit.</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Due to the partial impairment of the CarOffer reporting unit goodwill, the remaining goodwill balance related to this reporting unit is still considered to be at risk for future impairments. If projected future operating results further decline, including as a result of economic conditions or operational challenges, we may need to record additional impairment charges to further reduce the goodwill at the CarOffer reporting unit, which could be material and negatively affect our operations.</w:t>
      </w:r>
    </w:p>
    <w:p>
      <w:pPr>
        <w:pStyle w:val="TextBody"/>
        <w:bidi w:val="0"/>
        <w:spacing w:before="240" w:after="283"/>
        <w:jc w:val="both"/>
        <w:rPr>
          <w:rFonts w:ascii="Times New Roman" w:hAnsi="Times New Roman"/>
          <w:sz w:val="20"/>
        </w:rPr>
      </w:pPr>
      <w:r>
        <w:rPr>
          <w:rFonts w:ascii="Calibri;sans-serif" w:hAnsi="Calibri;sans-serif"/>
          <w:color w:val="000000"/>
          <w:sz w:val="20"/>
        </w:rPr>
        <w:t>For further discussion of impairments related to right-of-use assets, intangible assets, and goodwill in the CarOffer reporting unit, refer to Note 6 of the Unaudited Condensed Consolidated Financial Statements included elsewhere in this Quarterly Report.</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For a detailed explanation of the judgments made in these areas, refer to Note 2 of the Unaudited Condensed Consolidated Financial Statements included elsewhere in this Quarterly Report and “Management’s Discussion and Analysis of Financial Condition and Results of Operations” in our Annual Report.</w:t>
      </w:r>
    </w:p>
    <w:p>
      <w:pPr>
        <w:pStyle w:val="TextBody"/>
        <w:bidi w:val="0"/>
        <w:spacing w:before="240" w:after="283"/>
        <w:jc w:val="both"/>
        <w:rPr>
          <w:rFonts w:ascii="Times New Roman" w:hAnsi="Times New Roman"/>
          <w:sz w:val="20"/>
        </w:rPr>
      </w:pPr>
      <w:r>
        <w:rPr>
          <w:rFonts w:ascii="Calibri;sans-serif" w:hAnsi="Calibri;sans-serif"/>
          <w:b/>
          <w:color w:val="000000"/>
          <w:sz w:val="20"/>
        </w:rPr>
        <w:t>Recently Issued Accounting Pronouncements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Information concerning recently issued accounting pronouncements may be found in Note 2 of the Unaudited Condensed Consolidated Financial Statements included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2" w:name="item_3_quantitative_qualitative_disclosu"/>
      <w:bookmarkEnd w:id="12"/>
      <w:r>
        <w:rPr>
          <w:rFonts w:ascii="Calibri;sans-serif" w:hAnsi="Calibri;sans-serif"/>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color w:val="000000"/>
          <w:sz w:val="20"/>
        </w:rPr>
        <w:t>Market risk represents the risk of loss that may affect our financial position due to adverse changes in financial market prices and rates. We are exposed to market risks as described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Interest Rate Risk</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our exposure to market risk associated with changes in interest rates relates primarily to the 2022 Revolver, which allows us to borrow up to $400.0 million. The applicable interest rate is, at our option, based on a number of different benchmark rates and applicable spreads, as determined by the Consolidated Secured Net Leverage Ratio (as defined in Note 8 of the Unaudited Condensed Consolidated Financial Statements included elsewhere in this Quarterly Report). A fluctuation in interest rates does not have an impact on interest expense unless the 2022 Revolver is drawn upon. Such impact would also be dependent on the amount of the draw. As of June 30, 2024, there were no borrowings and $9.4 million in letters of credit outstanding under the 2022 Revolver, which reduced the borrowing capacity under the 2022 Revolver to $390.6 million. As of December 31, 2023, there were no borrowings and $9.6 million in letters of credit outstanding under the 2022 Revolver, which reduced the borrowing capacity under the 2022 Revolver to $390.4 million.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we had cash and cash equivalents of $216.2 million, which consisted of bank deposits, money market accounts, and mutual funds. As of December 31, 2023, we had cash, cash equivalents, and short-term investments of $312.1 million, which consisted of bank deposits, money market accounts, and mutual funds.</w:t>
      </w:r>
    </w:p>
    <w:p>
      <w:pPr>
        <w:pStyle w:val="TextBody"/>
        <w:bidi w:val="0"/>
        <w:spacing w:before="240" w:after="283"/>
        <w:jc w:val="both"/>
        <w:rPr>
          <w:rFonts w:ascii="Times New Roman" w:hAnsi="Times New Roman"/>
          <w:sz w:val="20"/>
        </w:rPr>
      </w:pPr>
      <w:r>
        <w:rPr>
          <w:rFonts w:ascii="Calibri;sans-serif" w:hAnsi="Calibri;sans-serif"/>
          <w:color w:val="000000"/>
          <w:sz w:val="20"/>
        </w:rPr>
        <w:t>Such interest-earning instruments carry a degree of interest rate risk.</w:t>
      </w:r>
      <w:r>
        <w:rPr>
          <w:rFonts w:ascii="Times New Roman" w:hAnsi="Times New Roman"/>
          <w:color w:val="000000"/>
          <w:sz w:val="20"/>
        </w:rPr>
        <w:t xml:space="preserve"> </w:t>
      </w:r>
      <w:r>
        <w:rPr>
          <w:rFonts w:ascii="Calibri;sans-serif" w:hAnsi="Calibri;sans-serif"/>
          <w:color w:val="000000"/>
          <w:sz w:val="20"/>
        </w:rPr>
        <w:t>Given recent changes in the interest rate environment and in an effort to ensure liquidity, we expect variable returns from our cash equivalents for the foreseeable future. To date, fluctuations resulting from changes in the interest rate environment in interest income have not been material to the operations of the business.</w:t>
      </w:r>
    </w:p>
    <w:p>
      <w:pPr>
        <w:pStyle w:val="TextBody"/>
        <w:bidi w:val="0"/>
        <w:spacing w:before="240" w:after="283"/>
        <w:jc w:val="both"/>
        <w:rPr>
          <w:rFonts w:ascii="Times New Roman" w:hAnsi="Times New Roman"/>
          <w:sz w:val="20"/>
        </w:rPr>
      </w:pPr>
      <w:r>
        <w:rPr>
          <w:rFonts w:ascii="Calibri;sans-serif" w:hAnsi="Calibri;sans-serif"/>
          <w:color w:val="000000"/>
          <w:sz w:val="20"/>
        </w:rPr>
        <w:t>We do not enter into investments for trading or speculative purposes and have not used any derivative financial instruments to manage our interest rate risk exposure.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Calibri;sans-serif" w:hAnsi="Calibri;sans-serif"/>
          <w:b/>
          <w:i/>
          <w:color w:val="000000"/>
          <w:sz w:val="20"/>
        </w:rPr>
        <w:t>Inflation Risk</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pStyle w:val="TextBody"/>
        <w:bidi w:val="0"/>
        <w:spacing w:before="240" w:after="283"/>
        <w:jc w:val="both"/>
        <w:rPr>
          <w:rFonts w:ascii="Times New Roman" w:hAnsi="Times New Roman"/>
          <w:sz w:val="20"/>
        </w:rPr>
      </w:pPr>
      <w:r>
        <w:rPr>
          <w:rFonts w:ascii="Calibri;sans-serif" w:hAnsi="Calibri;sans-serif"/>
          <w:b/>
          <w:i/>
          <w:color w:val="000000"/>
          <w:sz w:val="20"/>
        </w:rPr>
        <w:t>Foreign Currency Exchange Risk</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of June 30, 2024 and December 31, 2023, we had immaterial foreign currency exposures in the British pound, the Euro, and the Canadian dollar. Historically, because our operations and sales have been primarily in the U.S., we have not faced any significant foreign currency risk.</w:t>
      </w:r>
    </w:p>
    <w:p>
      <w:pPr>
        <w:pStyle w:val="TextBody"/>
        <w:bidi w:val="0"/>
        <w:spacing w:before="240" w:after="283"/>
        <w:jc w:val="both"/>
        <w:rPr>
          <w:rFonts w:ascii="Times New Roman" w:hAnsi="Times New Roman"/>
          <w:sz w:val="20"/>
        </w:rPr>
      </w:pPr>
      <w:r>
        <w:rPr>
          <w:rFonts w:ascii="Calibri;sans-serif" w:hAnsi="Calibri;sans-serif"/>
          <w:color w:val="000000"/>
          <w:sz w:val="20"/>
        </w:rPr>
        <w:t>As we seek to grow our international operations in Canada and the U.K., our risks associated with fluctuation in currency rates may become greater, and we will continue to reassess our approach to managing these risks.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3" w:name="item_4_controls_procedures"/>
      <w:bookmarkEnd w:id="13"/>
      <w:r>
        <w:rPr>
          <w:rFonts w:ascii="Calibri;sans-serif" w:hAnsi="Calibri;sans-serif"/>
          <w:b/>
          <w:color w:val="000000"/>
          <w:sz w:val="20"/>
        </w:rPr>
        <w:t>Item 4. Controls</w:t>
      </w:r>
      <w:r>
        <w:rPr>
          <w:rFonts w:ascii="Times New Roman" w:hAnsi="Times New Roman"/>
          <w:color w:val="000000"/>
          <w:sz w:val="20"/>
        </w:rPr>
        <w:t xml:space="preserve"> </w:t>
      </w:r>
      <w:r>
        <w:rPr>
          <w:rFonts w:ascii="Calibri;sans-serif" w:hAnsi="Calibri;sans-serif"/>
          <w:b/>
          <w:color w:val="000000"/>
          <w:sz w:val="20"/>
        </w:rPr>
        <w:t>and Procedures</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Evaluation of Disclosure Controls and Procedures</w:t>
      </w:r>
    </w:p>
    <w:p>
      <w:pPr>
        <w:pStyle w:val="TextBody"/>
        <w:bidi w:val="0"/>
        <w:spacing w:before="240" w:after="283"/>
        <w:jc w:val="both"/>
        <w:rPr>
          <w:rFonts w:ascii="Times New Roman" w:hAnsi="Times New Roman"/>
          <w:sz w:val="20"/>
        </w:rPr>
      </w:pPr>
      <w:r>
        <w:rPr>
          <w:rFonts w:ascii="Calibri;sans-serif" w:hAnsi="Calibri;sans-serif"/>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240" w:after="283"/>
        <w:jc w:val="both"/>
        <w:rPr>
          <w:rFonts w:ascii="Times New Roman" w:hAnsi="Times New Roman"/>
          <w:sz w:val="20"/>
        </w:rPr>
      </w:pPr>
      <w:r>
        <w:rPr>
          <w:rFonts w:ascii="Calibri;sans-serif" w:hAnsi="Calibri;sans-serif"/>
          <w:color w:val="000000"/>
          <w:sz w:val="20"/>
        </w:rPr>
        <w:t>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As described below, based on the evaluation of our disclosure controls and procedures as of the end of the period covered by this Quarterly Report, management identified a material weakness in our internal control over financial reporting. As a result of the material weakness, our Principal Executive Officer and Principal Financial Officer have concluded that, as of such date, our disclosure controls and procedures were not effective to provide reasonable assurance that information required to be disclosed in the reports we file and submit under the Exchange Act is recorded, processed, summarized, and reported as and when required.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Notwithstanding this material weakness noted above, our management, including our Principal Executive Officer and Principal Financial Officer, has concluded that our financial statements included in this Quarterly Report present fairly, in all material respects, our financial position, results of operations, and cash flows for the periods presented in accordance with GAAP.</w:t>
      </w:r>
    </w:p>
    <w:p>
      <w:pPr>
        <w:pStyle w:val="TextBody"/>
        <w:bidi w:val="0"/>
        <w:spacing w:before="240" w:after="283"/>
        <w:jc w:val="both"/>
        <w:rPr>
          <w:rFonts w:ascii="Times New Roman" w:hAnsi="Times New Roman"/>
          <w:sz w:val="20"/>
        </w:rPr>
      </w:pPr>
      <w:r>
        <w:rPr>
          <w:rFonts w:ascii="Calibri;sans-serif" w:hAnsi="Calibri;sans-serif"/>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r>
        <w:rPr>
          <w:rFonts w:ascii="Times New Roman" w:hAnsi="Times New Roman"/>
          <w:color w:val="000000"/>
          <w:sz w:val="20"/>
        </w:rPr>
        <w:t xml:space="preserve"> </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The control deficiencies, which, in the aggregate, were assessed as a material weakness as disclosed in our Annual Report, have not yet been fully remediated.</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At December 31, 2023, we had unremediated operational control deficiencies at CarOffer associated with the operation of logical access and change management of information technology, or IT, general controls, or IT General Controls, around program change and logical access in certain IT systems. Therefore, we were not able to have consistent, effective operation of manual controls that rely on data produced by and maintained within these affected IT systems. As of June 30, 2024, management was unable to demonstrate the consistent, effective operation of IT General Controls and manual controls that rely on data produced by and maintained within affected IT systems due to the limited remediation period. As a result, we did not have effective operation of internal controls over financial reporting to address the risks of material misstatement of various financial statement accounts at June 30, 2024. Management has determined that the impact of the previously identified deficiencies continue to aggregate into a material weakness at June 30, 2024.</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This material weakness did not result in a known material misstatement to our financial statements. However, the material weakness could have resulted in material misstatements in our interim or annual financial statements and disclosures which then may not have been prevented or detected. The material weakness also impacts the effectiveness of segregation of duties, impacts the effectiveness of financial controls which rely on information from relevant financial systems, and increases the reliance on corporate accounting personnel to identify errors at the CarOffer subsidiary level.</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Calibri;sans-serif" w:hAnsi="Calibri;sans-serif"/>
          <w:i/>
          <w:color w:val="000000"/>
          <w:sz w:val="20"/>
        </w:rPr>
      </w:pPr>
      <w:r>
        <w:rPr>
          <w:rFonts w:ascii="Calibri;sans-serif" w:hAnsi="Calibri;sans-serif"/>
          <w:i/>
          <w:color w:val="000000"/>
          <w:sz w:val="20"/>
        </w:rPr>
        <w:t>Remediation Plan</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To address the material weaknesses in our internal control over financial reporting as of December 31, 2023, we have continued remediation efforts outlined in previous financial statements, as applicable, including enhancing our control procedures, and in some cases, increasing the frequency at which controls are performed for logical access in IT systems. In addition, until remediation steps have been completed and are operated for a sufficient period of time, and subsequent evaluation of their effectiveness is completed, the material weakness described above will continue to exist. Our ongoing remediation efforts are focused on continued employee training related to internal control over financial reporting and confirming sustained operation of effectively designed control activities, including IT General Controls.</w:t>
      </w:r>
    </w:p>
    <w:p>
      <w:pPr>
        <w:pStyle w:val="TextBody"/>
        <w:bidi w:val="0"/>
        <w:spacing w:before="240" w:after="283"/>
        <w:jc w:val="both"/>
        <w:rPr>
          <w:rFonts w:ascii="Times New Roman" w:hAnsi="Times New Roman"/>
          <w:sz w:val="20"/>
        </w:rPr>
      </w:pPr>
      <w:r>
        <w:rPr>
          <w:rFonts w:ascii="Calibri;sans-serif" w:hAnsi="Calibri;sans-serif"/>
          <w:color w:val="000000"/>
          <w:sz w:val="20"/>
        </w:rPr>
        <w:t>Management is committed to successfully implementing the remediation plan as promptly as possible. As of June 30, 2024, management has implemented or enhanced certain controls to address specific issues related to the material weakness. The material weakness will not be considered remediated until our management implements effective controls that operate for a sufficient period of time and our management has concluded through testing that these controls are effective. The elements of our remediation plan can only be accomplished over time, and we can offer no assurance that these initiatives will ultimately have the intended effects. See “</w:t>
      </w:r>
      <w:r>
        <w:rPr>
          <w:rFonts w:ascii="Calibri;sans-serif" w:hAnsi="Calibri;sans-serif"/>
          <w:i/>
          <w:color w:val="000000"/>
          <w:sz w:val="20"/>
        </w:rPr>
        <w:t xml:space="preserve">Risk Factors—Risks Related to Our Business and Industry—We have identified a material weakness in our internal control over financial reporting. If we are unable to remediate this material weakness, we may not be able to accurately or timely report our financial condition or results of operations, which may adversely affect our business and the market price of our common stock.” </w:t>
      </w:r>
      <w:r>
        <w:rPr>
          <w:rFonts w:ascii="Calibri;sans-serif" w:hAnsi="Calibri;sans-serif"/>
          <w:color w:val="000000"/>
          <w:sz w:val="20"/>
        </w:rPr>
        <w:t>in Part I, Item 1A in our Annual Report.</w:t>
      </w:r>
    </w:p>
    <w:p>
      <w:pPr>
        <w:pStyle w:val="TextBody"/>
        <w:bidi w:val="0"/>
        <w:spacing w:before="240" w:after="283"/>
        <w:jc w:val="both"/>
        <w:rPr>
          <w:rFonts w:ascii="Calibri;sans-serif" w:hAnsi="Calibri;sans-serif"/>
          <w:b/>
          <w:i/>
          <w:color w:val="000000"/>
          <w:sz w:val="20"/>
        </w:rPr>
      </w:pPr>
      <w:r>
        <w:rPr>
          <w:rFonts w:ascii="Calibri;sans-serif" w:hAnsi="Calibri;sans-serif"/>
          <w:b/>
          <w:i/>
          <w:color w:val="000000"/>
          <w:sz w:val="20"/>
        </w:rPr>
        <w:t>Changes in Internal Control over Financial Reporting</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Except as otherwise noted above under "Remediation Plan," including the on-going remediation efforts described, there were no changes in our internal control over financial reporting (as such term is defined in Exchange Act Rules 13a-15(f) and 15d-15(f)) during the period covered by this Quarterly Report that have materially affected, or are reasonably likely to materially affect, our internal control over financial reporting. Our plans for remediating the material weakness, described above, will constitute changes in our internal control over financial reporting, prospectively, when such remediation plans are effectively implemented.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center"/>
        <w:rPr>
          <w:rFonts w:ascii="Calibri;sans-serif" w:hAnsi="Calibri;sans-serif"/>
          <w:b/>
          <w:color w:val="000000"/>
          <w:sz w:val="20"/>
        </w:rPr>
      </w:pPr>
      <w:bookmarkStart w:id="14" w:name="part_iior_information"/>
      <w:bookmarkEnd w:id="14"/>
      <w:r>
        <w:rPr>
          <w:rFonts w:ascii="Calibri;sans-serif" w:hAnsi="Calibri;sans-serif"/>
          <w:b/>
          <w:color w:val="000000"/>
          <w:sz w:val="20"/>
        </w:rPr>
        <w:t>PART II—OTHER INFORMATION</w:t>
      </w:r>
    </w:p>
    <w:p>
      <w:pPr>
        <w:pStyle w:val="TextBody"/>
        <w:bidi w:val="0"/>
        <w:spacing w:before="120" w:after="120"/>
        <w:jc w:val="both"/>
        <w:rPr>
          <w:rFonts w:ascii="Calibri;sans-serif" w:hAnsi="Calibri;sans-serif"/>
          <w:b/>
          <w:color w:val="000000"/>
          <w:sz w:val="20"/>
        </w:rPr>
      </w:pPr>
      <w:bookmarkStart w:id="15" w:name="item_1_legal_proceedings"/>
      <w:bookmarkEnd w:id="15"/>
      <w:r>
        <w:rPr>
          <w:rFonts w:ascii="Calibri;sans-serif" w:hAnsi="Calibri;sans-serif"/>
          <w:b/>
          <w:color w:val="000000"/>
          <w:sz w:val="20"/>
        </w:rPr>
        <w:t>Item 1. Legal Proceedings.</w:t>
      </w:r>
    </w:p>
    <w:p>
      <w:pPr>
        <w:pStyle w:val="TextBody"/>
        <w:bidi w:val="0"/>
        <w:spacing w:before="120" w:after="120"/>
        <w:jc w:val="both"/>
        <w:rPr>
          <w:rFonts w:ascii="Calibri;sans-serif" w:hAnsi="Calibri;sans-serif"/>
          <w:color w:val="000000"/>
          <w:sz w:val="20"/>
        </w:rPr>
      </w:pPr>
      <w:r>
        <w:rPr>
          <w:rFonts w:ascii="Calibri;sans-serif" w:hAnsi="Calibri;sans-serif"/>
          <w:color w:val="000000"/>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pStyle w:val="TextBody"/>
        <w:bidi w:val="0"/>
        <w:spacing w:before="60" w:after="60"/>
        <w:jc w:val="both"/>
        <w:rPr>
          <w:rFonts w:ascii="Calibri;sans-serif" w:hAnsi="Calibri;sans-serif"/>
          <w:b/>
          <w:color w:val="000000"/>
          <w:sz w:val="20"/>
        </w:rPr>
      </w:pPr>
      <w:bookmarkStart w:id="16" w:name="item_1a_risk_factors"/>
      <w:bookmarkEnd w:id="16"/>
      <w:r>
        <w:rPr>
          <w:rFonts w:ascii="Calibri;sans-serif" w:hAnsi="Calibri;sans-serif"/>
          <w:b/>
          <w:color w:val="000000"/>
          <w:sz w:val="20"/>
        </w:rPr>
        <w:t>Item 1A. Risk Factors.</w:t>
      </w:r>
    </w:p>
    <w:p>
      <w:pPr>
        <w:pStyle w:val="TextBody"/>
        <w:bidi w:val="0"/>
        <w:jc w:val="both"/>
        <w:rPr>
          <w:rFonts w:ascii="Times New Roman" w:hAnsi="Times New Roman"/>
          <w:sz w:val="20"/>
        </w:rPr>
      </w:pPr>
      <w:r>
        <w:rPr>
          <w:rFonts w:ascii="Calibri;sans-serif" w:hAnsi="Calibri;sans-serif"/>
          <w:color w:val="000000"/>
          <w:sz w:val="20"/>
        </w:rPr>
        <w:t>Careful consideration should be given to the factors discussed in Part I, Item 1A, “Risk Factors,” in our Annual Report, which could materially affect our business, financial condition, or future results, in addition to the information set forth in this Quarterly Report</w:t>
      </w:r>
      <w:r>
        <w:rPr>
          <w:rFonts w:ascii="Times New Roman" w:hAnsi="Times New Roman"/>
          <w:color w:val="000000"/>
          <w:sz w:val="16"/>
        </w:rPr>
        <w:t xml:space="preserve">. </w:t>
      </w:r>
      <w:r>
        <w:rPr>
          <w:rFonts w:ascii="Calibri;sans-serif" w:hAnsi="Calibri;sans-serif"/>
          <w:color w:val="000000"/>
          <w:sz w:val="20"/>
        </w:rPr>
        <w:t>The risk factor set forth below updates the risk factors in our Annual Report.</w:t>
      </w:r>
    </w:p>
    <w:p>
      <w:pPr>
        <w:pStyle w:val="TextBody"/>
        <w:bidi w:val="0"/>
        <w:jc w:val="both"/>
        <w:rPr/>
      </w:pPr>
      <w:r>
        <w:rPr/>
        <w:t> </w:t>
      </w:r>
    </w:p>
    <w:p>
      <w:pPr>
        <w:pStyle w:val="TextBody"/>
        <w:bidi w:val="0"/>
        <w:jc w:val="both"/>
        <w:rPr>
          <w:rFonts w:ascii="Calibri;sans-serif" w:hAnsi="Calibri;sans-serif"/>
          <w:b/>
          <w:i/>
          <w:color w:val="000000"/>
          <w:sz w:val="20"/>
        </w:rPr>
      </w:pPr>
      <w:r>
        <w:rPr>
          <w:rFonts w:ascii="Calibri;sans-serif" w:hAnsi="Calibri;sans-serif"/>
          <w:b/>
          <w:i/>
          <w:color w:val="000000"/>
          <w:sz w:val="20"/>
        </w:rPr>
        <w:t>Our goodwill, intangible assets, and right-of-use assets have been subject to impairment and may be subject to further impairment in the future, which could have a material adverse effect on our results of operations, financial condition, or future operating results.</w:t>
      </w:r>
    </w:p>
    <w:p>
      <w:pPr>
        <w:pStyle w:val="TextBody"/>
        <w:bidi w:val="0"/>
        <w:jc w:val="both"/>
        <w:rPr>
          <w:rFonts w:ascii="Calibri;sans-serif" w:hAnsi="Calibri;sans-serif"/>
          <w:color w:val="000000"/>
          <w:sz w:val="20"/>
        </w:rPr>
      </w:pPr>
      <w:r>
        <w:rPr>
          <w:rFonts w:ascii="Calibri;sans-serif" w:hAnsi="Calibri;sans-serif"/>
          <w:color w:val="000000"/>
          <w:sz w:val="20"/>
        </w:rPr>
        <w:t>We evaluate the recoverability of recognized goodwill amounts and indefinite-lived intangible assets for impairment at least annually and whenever events or changes in circumstances indicate that the carrying value of the asset may not be recoverable. These impairment tests are based on several factors requiring management’s judgment, including identification of triggering events for reassessment and determination of the fair value of related assets. If such goodwill or intangible assets are deemed to be impaired, an impairment loss equal to the amount by which the carrying amount exceeds the fair value of the assets would be recognized. Future events may cause impairments of our goodwill or intangible assets based on factors such as the price of our Class A common stock, projected cash flows, assumptions used, or other variables.</w:t>
      </w:r>
    </w:p>
    <w:p>
      <w:pPr>
        <w:pStyle w:val="TextBody"/>
        <w:bidi w:val="0"/>
        <w:jc w:val="left"/>
        <w:rPr/>
      </w:pPr>
      <w:r>
        <w:rPr/>
        <w:t> </w:t>
      </w:r>
    </w:p>
    <w:p>
      <w:pPr>
        <w:pStyle w:val="TextBody"/>
        <w:bidi w:val="0"/>
        <w:jc w:val="both"/>
        <w:rPr>
          <w:rFonts w:ascii="Calibri;sans-serif" w:hAnsi="Calibri;sans-serif"/>
          <w:color w:val="000000"/>
          <w:sz w:val="20"/>
        </w:rPr>
      </w:pPr>
      <w:r>
        <w:rPr>
          <w:rFonts w:ascii="Calibri;sans-serif" w:hAnsi="Calibri;sans-serif"/>
          <w:color w:val="000000"/>
          <w:sz w:val="20"/>
        </w:rPr>
        <w:t>In the three months ended June 30, 2024, we recognized a partial impairment charge of $127.5 million related to the CarOffer reporting unit. We cannot accurately predict the amount and timing of any impairment of goodwill, intangible assets, or right-of-use assets. We may be required to record an additional charge during the period in which further impairment of our goodwill or intangible assets is determined, which could have a material adverse effect on our results of operations, financial condition, or future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both"/>
        <w:rPr>
          <w:rFonts w:ascii="Calibri;sans-serif" w:hAnsi="Calibri;sans-serif"/>
          <w:b/>
          <w:color w:val="000000"/>
          <w:sz w:val="20"/>
        </w:rPr>
      </w:pPr>
      <w:bookmarkStart w:id="17" w:name="item_2_unreg_sale_securities"/>
      <w:bookmarkEnd w:id="17"/>
      <w:r>
        <w:rPr>
          <w:rFonts w:ascii="Calibri;sans-serif" w:hAnsi="Calibri;sans-serif"/>
          <w:b/>
          <w:color w:val="000000"/>
          <w:sz w:val="20"/>
        </w:rPr>
        <w:t>Item 2. Unregistered Sales of Equity Securities and Use of Proceeds.</w:t>
      </w:r>
    </w:p>
    <w:p>
      <w:pPr>
        <w:pStyle w:val="TextBody"/>
        <w:bidi w:val="0"/>
        <w:spacing w:before="120" w:after="283"/>
        <w:jc w:val="both"/>
        <w:rPr>
          <w:rFonts w:ascii="Calibri;sans-serif" w:hAnsi="Calibri;sans-serif"/>
          <w:b/>
          <w:i/>
          <w:color w:val="000000"/>
          <w:sz w:val="20"/>
        </w:rPr>
      </w:pPr>
      <w:r>
        <w:rPr>
          <w:rFonts w:ascii="Calibri;sans-serif" w:hAnsi="Calibri;sans-serif"/>
          <w:b/>
          <w:i/>
          <w:color w:val="000000"/>
          <w:sz w:val="20"/>
        </w:rPr>
        <w:t>Recent Sales of Unregistered Securities</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None.</w:t>
      </w:r>
    </w:p>
    <w:p>
      <w:pPr>
        <w:pStyle w:val="TextBody"/>
        <w:bidi w:val="0"/>
        <w:spacing w:before="120" w:after="283"/>
        <w:jc w:val="both"/>
        <w:rPr>
          <w:rFonts w:ascii="Calibri;sans-serif" w:hAnsi="Calibri;sans-serif"/>
          <w:b/>
          <w:i/>
          <w:color w:val="000000"/>
          <w:sz w:val="20"/>
        </w:rPr>
      </w:pPr>
      <w:r>
        <w:rPr>
          <w:rFonts w:ascii="Calibri;sans-serif" w:hAnsi="Calibri;sans-serif"/>
          <w:b/>
          <w:i/>
          <w:color w:val="000000"/>
          <w:sz w:val="20"/>
        </w:rPr>
        <w:t>Purchases of Equity Securities</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following table summarizes information about our purchases of our Class A common stock equity securities for each of the months during the three months ended June 30,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92"/>
        <w:gridCol w:w="146"/>
        <w:gridCol w:w="209"/>
        <w:gridCol w:w="1337"/>
        <w:gridCol w:w="146"/>
        <w:gridCol w:w="146"/>
        <w:gridCol w:w="377"/>
        <w:gridCol w:w="1026"/>
        <w:gridCol w:w="146"/>
        <w:gridCol w:w="146"/>
        <w:gridCol w:w="297"/>
        <w:gridCol w:w="1894"/>
        <w:gridCol w:w="146"/>
        <w:gridCol w:w="146"/>
        <w:gridCol w:w="500"/>
        <w:gridCol w:w="1856"/>
        <w:gridCol w:w="395"/>
      </w:tblGrid>
      <w:tr>
        <w:trPr/>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292" w:type="dxa"/>
            <w:tcBorders/>
            <w:shd w:fill="FFFFFF" w:val="cle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Period</w:t>
            </w:r>
          </w:p>
        </w:tc>
        <w:tc>
          <w:tcPr>
            <w:tcW w:w="146" w:type="dxa"/>
            <w:tcBorders/>
            <w:shd w:fill="FFFFFF" w:val="cle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Total Number of Shares of Common Stock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Weighted Average Price Paid per Share of Common Stock</w:t>
            </w:r>
            <w:r>
              <w:rPr>
                <w:rFonts w:ascii="Calibri;sans-serif" w:hAnsi="Calibr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Total Number of Shares of Common Stock Purchased as Part of Publicly Announced Plans or Programs</w:t>
            </w:r>
            <w:r>
              <w:rPr>
                <w:rFonts w:ascii="Calibri;sans-serif" w:hAnsi="Calibri;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Calibri;sans-serif" w:hAnsi="Calibri;sans-serif"/>
                <w:b/>
                <w:color w:val="000000"/>
                <w:sz w:val="16"/>
              </w:rPr>
              <w:t xml:space="preserve">Maximum Approximate Dollar Value of Shares of Common Stock that May Yet be Purchased Under the Plans or Programs </w:t>
              <w:br/>
              <w:t>(in thousands)</w:t>
            </w:r>
            <w:r>
              <w:rPr>
                <w:rFonts w:ascii="Calibri;sans-serif" w:hAnsi="Calibri;sans-serif"/>
                <w:b/>
                <w:color w:val="000000"/>
                <w:sz w:val="11"/>
              </w:rPr>
              <w:t>(2)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292"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color w:val="000000"/>
                <w:sz w:val="20"/>
              </w:rPr>
              <w:t>April 1, 2024 through April 30, 2024</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133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1,240,919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189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1,240,919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140,913</w:t>
            </w:r>
          </w:p>
        </w:tc>
        <w:tc>
          <w:tcPr>
            <w:tcW w:w="395" w:type="dxa"/>
            <w:tcBorders/>
            <w:shd w:fill="CFF0FC" w:val="clear"/>
            <w:vAlign w:val="center"/>
          </w:tcPr>
          <w:p>
            <w:pPr>
              <w:pStyle w:val="TableContents"/>
              <w:bidi w:val="0"/>
              <w:spacing w:before="0" w:after="283"/>
              <w:ind w:left="0" w:right="0" w:firstLine="100"/>
              <w:jc w:val="left"/>
              <w:rPr/>
            </w:pPr>
            <w:r>
              <w:rPr/>
              <w:t> </w:t>
            </w:r>
          </w:p>
        </w:tc>
      </w:tr>
      <w:tr>
        <w:trPr/>
        <w:tc>
          <w:tcPr>
            <w:tcW w:w="1292"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color w:val="000000"/>
                <w:sz w:val="20"/>
              </w:rPr>
              <w:t>May 1, 2024 through May 31, 2024</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1,294,706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189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1,294,706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110,436</w:t>
            </w:r>
          </w:p>
        </w:tc>
        <w:tc>
          <w:tcPr>
            <w:tcW w:w="395" w:type="dxa"/>
            <w:tcBorders/>
            <w:shd w:fill="FFFFFF" w:val="clear"/>
            <w:vAlign w:val="center"/>
          </w:tcPr>
          <w:p>
            <w:pPr>
              <w:pStyle w:val="TableContents"/>
              <w:bidi w:val="0"/>
              <w:spacing w:before="0" w:after="283"/>
              <w:ind w:left="0" w:right="0" w:firstLine="100"/>
              <w:jc w:val="left"/>
              <w:rPr/>
            </w:pPr>
            <w:r>
              <w:rPr/>
              <w:t> </w:t>
            </w:r>
          </w:p>
        </w:tc>
      </w:tr>
      <w:tr>
        <w:trPr/>
        <w:tc>
          <w:tcPr>
            <w:tcW w:w="1292"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Calibri;sans-serif" w:hAnsi="Calibri;sans-serif"/>
                <w:color w:val="000000"/>
                <w:sz w:val="20"/>
              </w:rPr>
              <w:t>June 1, 2024 through June 30, 2024</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0"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107,583</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292"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Calibri;sans-serif" w:hAnsi="Calibri;sans-serif"/>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2,654,807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2,654,807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0"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85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107,583</w:t>
            </w:r>
          </w:p>
        </w:tc>
        <w:tc>
          <w:tcPr>
            <w:tcW w:w="395" w:type="dxa"/>
            <w:tcBorders/>
            <w:shd w:fill="FFFFFF" w:val="clear"/>
            <w:vAlign w:val="center"/>
          </w:tcPr>
          <w:p>
            <w:pPr>
              <w:pStyle w:val="TableContents"/>
              <w:bidi w:val="0"/>
              <w:spacing w:before="0" w:after="283"/>
              <w:jc w:val="left"/>
              <w:rPr/>
            </w:pPr>
            <w:r>
              <w:rPr/>
              <w:t> </w:t>
            </w:r>
          </w:p>
        </w:tc>
      </w:tr>
    </w:tbl>
    <w:p>
      <w:pPr>
        <w:pStyle w:val="TextBody"/>
        <w:bidi w:val="0"/>
        <w:spacing w:before="12" w:after="283"/>
        <w:jc w:val="both"/>
        <w:rPr>
          <w:rFonts w:ascii="Calibri" w:hAnsi="Calibri"/>
          <w:color w:val="000000"/>
          <w:sz w:val="20"/>
        </w:rPr>
      </w:pPr>
      <w:r>
        <w:rPr>
          <w:rFonts w:ascii="Calibri" w:hAnsi="Calibri"/>
          <w:color w:val="000000"/>
          <w:sz w:val="20"/>
        </w:rPr>
        <w:t>(1)</w:t>
      </w:r>
    </w:p>
    <w:p>
      <w:pPr>
        <w:pStyle w:val="TextBody"/>
        <w:bidi w:val="0"/>
        <w:spacing w:before="12" w:after="283"/>
        <w:jc w:val="both"/>
        <w:rPr>
          <w:rFonts w:ascii="Calibri;sans-serif" w:hAnsi="Calibri;sans-serif"/>
          <w:color w:val="000000"/>
          <w:sz w:val="13"/>
        </w:rPr>
      </w:pPr>
      <w:r>
        <w:rPr>
          <w:rFonts w:ascii="Calibri;sans-serif" w:hAnsi="Calibri;sans-serif"/>
          <w:color w:val="000000"/>
          <w:sz w:val="13"/>
        </w:rPr>
        <w:t>The weighted average price paid per share of our Class A common stock does not include cost of commissions.</w:t>
      </w:r>
    </w:p>
    <w:p>
      <w:pPr>
        <w:pStyle w:val="TextBody"/>
        <w:bidi w:val="0"/>
        <w:spacing w:before="0" w:after="0"/>
        <w:jc w:val="both"/>
        <w:rPr>
          <w:rFonts w:ascii="Calibri" w:hAnsi="Calibri"/>
          <w:color w:val="000000"/>
          <w:sz w:val="20"/>
        </w:rPr>
      </w:pPr>
      <w:r>
        <w:rPr>
          <w:rFonts w:ascii="Calibri" w:hAnsi="Calibri"/>
          <w:color w:val="000000"/>
          <w:sz w:val="20"/>
        </w:rPr>
        <w:t>(2)</w:t>
      </w:r>
    </w:p>
    <w:p>
      <w:pPr>
        <w:pStyle w:val="TextBody"/>
        <w:bidi w:val="0"/>
        <w:spacing w:before="0" w:after="0"/>
        <w:jc w:val="both"/>
        <w:rPr>
          <w:rFonts w:ascii="Calibri;sans-serif" w:hAnsi="Calibri;sans-serif"/>
          <w:color w:val="000000"/>
          <w:sz w:val="13"/>
        </w:rPr>
      </w:pPr>
      <w:r>
        <w:rPr>
          <w:rFonts w:ascii="Calibri;sans-serif" w:hAnsi="Calibri;sans-serif"/>
          <w:color w:val="000000"/>
          <w:sz w:val="13"/>
        </w:rPr>
        <w:t>On November 7, 2023, we announced that our Board of Directors authorized the 2024 Share Repurchase Program, pursuant to which we may, from time to time, purchase shares of our Class A common stock for an aggregate purchase price not to exceed $250.0 million. Share repurchases under the 2024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2024 Share Repurchase Program does not obligate us to repurchase any minimum dollar amount or number of shares. The 2024 Share Repurchase Program has an effective date of January 1, 2024, and an expiration date of December 31, 2024, and prior to its expiration may be modified, suspended, or discontinued by our Board of Directors at any time without prior notice. All repurchased shares of our Class A common stock under the 2024 Share Repurchase Program will be retired. We have funded share repurchases and expect to continue to fund any additional share repurchases under the 2024 Share Repurchase Program through cash on hand and cash generated from operations.</w:t>
      </w:r>
    </w:p>
    <w:p>
      <w:pPr>
        <w:pStyle w:val="TextBody"/>
        <w:bidi w:val="0"/>
        <w:spacing w:before="0" w:after="0"/>
        <w:jc w:val="both"/>
        <w:rPr>
          <w:rFonts w:ascii="Calibri" w:hAnsi="Calibri"/>
          <w:color w:val="000000"/>
          <w:sz w:val="20"/>
        </w:rPr>
      </w:pPr>
      <w:r>
        <w:rPr>
          <w:rFonts w:ascii="Calibri" w:hAnsi="Calibri"/>
          <w:color w:val="000000"/>
          <w:sz w:val="20"/>
        </w:rPr>
        <w:t>(3)</w:t>
      </w:r>
    </w:p>
    <w:p>
      <w:pPr>
        <w:pStyle w:val="TextBody"/>
        <w:bidi w:val="0"/>
        <w:jc w:val="both"/>
        <w:rPr>
          <w:rFonts w:ascii="Calibri;sans-serif" w:hAnsi="Calibri;sans-serif"/>
          <w:color w:val="000000"/>
          <w:sz w:val="13"/>
        </w:rPr>
      </w:pPr>
      <w:r>
        <w:rPr>
          <w:rFonts w:ascii="Calibri;sans-serif" w:hAnsi="Calibri;sans-serif"/>
          <w:color w:val="000000"/>
          <w:sz w:val="13"/>
        </w:rPr>
        <w:t>The total number of shares of our Class A common stock purchased as part of the 2024 Share Repurchase Program was inclusive of any shares purchased but not settled as of June 30, 2024.</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color w:val="000000"/>
          <w:sz w:val="20"/>
        </w:rPr>
      </w:pPr>
      <w:bookmarkStart w:id="18" w:name="item_5_other_information"/>
      <w:bookmarkEnd w:id="18"/>
      <w:r>
        <w:rPr>
          <w:rFonts w:ascii="Calibri;sans-serif" w:hAnsi="Calibri;sans-serif"/>
          <w:b/>
          <w:color w:val="000000"/>
          <w:sz w:val="20"/>
        </w:rPr>
        <w:t>Item 5. Other Information</w:t>
      </w:r>
    </w:p>
    <w:p>
      <w:pPr>
        <w:pStyle w:val="TextBody"/>
        <w:bidi w:val="0"/>
        <w:jc w:val="both"/>
        <w:rPr/>
      </w:pPr>
      <w:r>
        <w:rPr/>
        <w:t> </w:t>
      </w:r>
    </w:p>
    <w:p>
      <w:pPr>
        <w:pStyle w:val="TextBody"/>
        <w:bidi w:val="0"/>
        <w:jc w:val="both"/>
        <w:rPr>
          <w:rFonts w:ascii="Calibri;sans-serif" w:hAnsi="Calibri;sans-serif"/>
          <w:b/>
          <w:i/>
          <w:color w:val="000000"/>
          <w:sz w:val="20"/>
        </w:rPr>
      </w:pPr>
      <w:r>
        <w:rPr>
          <w:rFonts w:ascii="Calibri;sans-serif" w:hAnsi="Calibri;sans-serif"/>
          <w:b/>
          <w:i/>
          <w:color w:val="000000"/>
          <w:sz w:val="20"/>
        </w:rPr>
        <w:t>Rule 10b5-1 Plan Trading Arrangements</w:t>
      </w:r>
    </w:p>
    <w:p>
      <w:pPr>
        <w:pStyle w:val="TextBody"/>
        <w:bidi w:val="0"/>
        <w:jc w:val="both"/>
        <w:rPr>
          <w:rFonts w:ascii="Times New Roman" w:hAnsi="Times New Roman"/>
          <w:sz w:val="20"/>
        </w:rPr>
      </w:pPr>
      <w:r>
        <w:rPr>
          <w:rFonts w:ascii="Calibri;sans-serif" w:hAnsi="Calibri;sans-serif"/>
          <w:color w:val="000000"/>
          <w:sz w:val="20"/>
        </w:rPr>
        <w:t>During the three months ended June 30, 2024, the following officer adopted</w:t>
      </w:r>
      <w:r>
        <w:rPr>
          <w:rFonts w:ascii="Times New Roman" w:hAnsi="Times New Roman"/>
          <w:color w:val="000000"/>
          <w:sz w:val="20"/>
        </w:rPr>
        <w:t xml:space="preserve"> </w:t>
      </w:r>
      <w:r>
        <w:rPr>
          <w:rFonts w:ascii="Calibri;sans-serif" w:hAnsi="Calibri;sans-serif"/>
          <w:color w:val="000000"/>
          <w:sz w:val="20"/>
        </w:rPr>
        <w:t>a “Rule 10b5-1 trading arrangement” (as defined in Item 408 of Regulation S-K) that is intended to satisfy the affirmative defense of Rule 10b5-1(c) under the Exchange Act and our policies on insider trading: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24"/>
        <w:gridCol w:w="109"/>
        <w:gridCol w:w="1079"/>
        <w:gridCol w:w="109"/>
        <w:gridCol w:w="5948"/>
        <w:gridCol w:w="109"/>
        <w:gridCol w:w="1327"/>
      </w:tblGrid>
      <w:tr>
        <w:trPr/>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1524"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Name &amp; Title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Date Adopted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4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Aggregate Number of Shares of Class A Common Stock to be Purchased or Sold Pursuant to Trading Arrangement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7"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Calibri;sans-serif" w:hAnsi="Calibri;sans-serif"/>
                <w:b/>
                <w:color w:val="000000"/>
                <w:sz w:val="20"/>
              </w:rPr>
              <w:t>Expiration Date</w:t>
            </w:r>
            <w:r>
              <w:rPr>
                <w:rFonts w:ascii="Calibri;sans-serif" w:hAnsi="Calibri;sans-serif"/>
                <w:b/>
                <w:color w:val="000000"/>
                <w:sz w:val="13"/>
              </w:rPr>
              <w:t>(1)</w:t>
            </w:r>
          </w:p>
        </w:tc>
      </w:tr>
      <w:tr>
        <w:trPr/>
        <w:tc>
          <w:tcPr>
            <w:tcW w:w="1524" w:type="dxa"/>
            <w:tcBorders/>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Dafna Sarnoff,</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Marketing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May 17,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Calibri;sans-serif" w:hAnsi="Calibri;sans-serif"/>
                <w:color w:val="000000"/>
                <w:sz w:val="20"/>
              </w:rPr>
              <w:t>71,623</w:t>
            </w:r>
            <w:r>
              <w:rPr>
                <w:rFonts w:ascii="Times New Roman" w:hAnsi="Times New Roman"/>
                <w:color w:val="000000"/>
                <w:sz w:val="20"/>
              </w:rPr>
              <w:t xml:space="preserve"> </w:t>
            </w:r>
            <w:r>
              <w:rPr>
                <w:rFonts w:ascii="Calibri;sans-serif" w:hAnsi="Calibri;sans-serif"/>
                <w:color w:val="000000"/>
                <w:sz w:val="20"/>
              </w:rPr>
              <w:t>shares to be sold</w:t>
            </w:r>
            <w:r>
              <w:rPr>
                <w:rFonts w:ascii="Calibri;sans-serif" w:hAnsi="Calibri;sans-serif"/>
                <w:color w:val="000000"/>
                <w:sz w:val="13"/>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tcBorders/>
            <w:tcMar>
              <w:top w:w="0" w:type="dxa"/>
              <w:left w:w="0" w:type="dxa"/>
              <w:bottom w:w="0" w:type="dxa"/>
              <w:right w:w="0" w:type="dxa"/>
            </w:tcMar>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May 1, 2025</w:t>
            </w:r>
          </w:p>
        </w:tc>
      </w:tr>
      <w:tr>
        <w:trPr/>
        <w:tc>
          <w:tcPr>
            <w:tcW w:w="1524"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13"/>
        </w:rPr>
        <w:t>(1)</w:t>
      </w:r>
      <w:r>
        <w:rPr>
          <w:rFonts w:ascii="Times New Roman" w:hAnsi="Times New Roman"/>
          <w:color w:val="000000"/>
          <w:sz w:val="20"/>
        </w:rPr>
        <w:t xml:space="preserve"> </w:t>
      </w:r>
      <w:r>
        <w:rPr>
          <w:rFonts w:ascii="Calibri;sans-serif" w:hAnsi="Calibri;sans-serif"/>
          <w:color w:val="000000"/>
          <w:sz w:val="20"/>
        </w:rPr>
        <w:t>The Rule 10b5-1 trading arrangement permits transactions through and including the earlier to occur of (a) the completion of all sales or (b) the date listed in the table. The arrangement also provides for automatic expiration in the event of liquidation, dissolution, bankruptcy, insolvency, or death of the adopting person.</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13"/>
        </w:rPr>
        <w:t>(2)</w:t>
      </w:r>
      <w:r>
        <w:rPr>
          <w:rFonts w:ascii="Times New Roman" w:hAnsi="Times New Roman"/>
          <w:color w:val="000000"/>
          <w:sz w:val="20"/>
        </w:rPr>
        <w:t xml:space="preserve"> </w:t>
      </w:r>
      <w:r>
        <w:rPr>
          <w:rFonts w:ascii="Calibri;sans-serif" w:hAnsi="Calibri;sans-serif"/>
          <w:color w:val="000000"/>
          <w:sz w:val="20"/>
        </w:rPr>
        <w:t>The Rule 10b5-1 trading arrangement includes the sale of shares to be received upon future vesting of certain outstanding equity awards, net of any shares withheld by us to satisfy applicable taxes. The number of shares to be withheld, and thus the exact number of shares to be sold pursuant to such officer’s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20"/>
        </w:rPr>
        <w:t>On December 15, 2023, Ms. Sarnoff</w:t>
      </w:r>
      <w:r>
        <w:rPr>
          <w:rFonts w:ascii="Times New Roman" w:hAnsi="Times New Roman"/>
          <w:color w:val="000000"/>
          <w:sz w:val="20"/>
        </w:rPr>
        <w:t xml:space="preserve"> </w:t>
      </w:r>
      <w:r>
        <w:rPr>
          <w:rFonts w:ascii="Calibri;sans-serif" w:hAnsi="Calibri;sans-serif"/>
          <w:color w:val="000000"/>
          <w:sz w:val="20"/>
        </w:rPr>
        <w:t>adopted</w:t>
      </w:r>
      <w:r>
        <w:rPr>
          <w:rFonts w:ascii="Times New Roman" w:hAnsi="Times New Roman"/>
          <w:color w:val="000000"/>
          <w:sz w:val="20"/>
        </w:rPr>
        <w:t xml:space="preserve"> </w:t>
      </w:r>
      <w:r>
        <w:rPr>
          <w:rFonts w:ascii="Calibri;sans-serif" w:hAnsi="Calibri;sans-serif"/>
          <w:color w:val="000000"/>
          <w:sz w:val="20"/>
        </w:rPr>
        <w:t>a “Rule 10b5-1 trading arrangement” that was intended to satisfy the affirmative defense of Rule 10b5-1(c) under the Exchange Act and our policies on insider trading, or the Sarnoff 2023 Plan. Pursuant to the Sarnoff 2023 Plan, up to 73,817</w:t>
      </w:r>
      <w:r>
        <w:rPr>
          <w:rFonts w:ascii="Times New Roman" w:hAnsi="Times New Roman"/>
          <w:color w:val="000000"/>
          <w:sz w:val="20"/>
        </w:rPr>
        <w:t xml:space="preserve"> </w:t>
      </w:r>
      <w:r>
        <w:rPr>
          <w:rFonts w:ascii="Calibri;sans-serif" w:hAnsi="Calibri;sans-serif"/>
          <w:color w:val="000000"/>
          <w:sz w:val="20"/>
        </w:rPr>
        <w:t>shares were to be sold</w:t>
      </w:r>
      <w:r>
        <w:rPr>
          <w:rFonts w:ascii="Times New Roman" w:hAnsi="Times New Roman"/>
          <w:color w:val="000000"/>
          <w:sz w:val="20"/>
        </w:rPr>
        <w:t xml:space="preserve"> </w:t>
      </w:r>
      <w:r>
        <w:rPr>
          <w:rFonts w:ascii="Calibri;sans-serif" w:hAnsi="Calibri;sans-serif"/>
          <w:color w:val="000000"/>
          <w:sz w:val="20"/>
        </w:rPr>
        <w:t>and it had an expiration date of March 31, 2025. On May 17, 2024, Ms. Sarnoff terminated the Sarnoff 2023 Plan.</w:t>
      </w:r>
    </w:p>
    <w:p>
      <w:pPr>
        <w:pStyle w:val="TextBody"/>
        <w:bidi w:val="0"/>
        <w:spacing w:before="240" w:after="283"/>
        <w:jc w:val="both"/>
        <w:rPr>
          <w:rFonts w:ascii="Times New Roman" w:hAnsi="Times New Roman"/>
          <w:sz w:val="20"/>
        </w:rPr>
      </w:pPr>
      <w:r>
        <w:rPr>
          <w:rFonts w:ascii="Calibri;sans-serif" w:hAnsi="Calibri;sans-serif"/>
          <w:color w:val="000000"/>
          <w:sz w:val="20"/>
        </w:rPr>
        <w:t>Other than those disclosed above, none of our directors or officers adopted, modified, or terminated</w:t>
      </w:r>
      <w:r>
        <w:rPr>
          <w:rFonts w:ascii="Times New Roman" w:hAnsi="Times New Roman"/>
          <w:color w:val="000000"/>
          <w:sz w:val="20"/>
        </w:rPr>
        <w:t xml:space="preserve"> </w:t>
      </w:r>
      <w:r>
        <w:rPr>
          <w:rFonts w:ascii="Calibri;sans-serif" w:hAnsi="Calibri;sans-serif"/>
          <w:color w:val="000000"/>
          <w:sz w:val="20"/>
        </w:rPr>
        <w:t>a “Rule 10b5-1 trading arrangement” or “non-Rule 10b5-1 trading arrangement,” in each case as defined in Item 408 of Regulation S-K.</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Calibri;sans-serif" w:hAnsi="Calibri;sans-serif"/>
          <w:b/>
          <w:color w:val="000000"/>
          <w:sz w:val="20"/>
        </w:rPr>
      </w:pPr>
      <w:bookmarkStart w:id="19" w:name="item_6_exhibits"/>
      <w:bookmarkEnd w:id="19"/>
      <w:r>
        <w:rPr>
          <w:rFonts w:ascii="Calibri;sans-serif" w:hAnsi="Calibri;sans-serif"/>
          <w:b/>
          <w:color w:val="000000"/>
          <w:sz w:val="20"/>
        </w:rPr>
        <w:t>Item 6. Exhibits.</w:t>
      </w:r>
    </w:p>
    <w:p>
      <w:pPr>
        <w:pStyle w:val="TextBody"/>
        <w:bidi w:val="0"/>
        <w:spacing w:before="120" w:after="283"/>
        <w:jc w:val="both"/>
        <w:rPr>
          <w:rFonts w:ascii="Calibri;sans-serif" w:hAnsi="Calibri;sans-serif"/>
          <w:color w:val="000000"/>
          <w:sz w:val="20"/>
        </w:rPr>
      </w:pPr>
      <w:r>
        <w:rPr>
          <w:rFonts w:ascii="Calibri;sans-serif" w:hAnsi="Calibri;sans-serif"/>
          <w:color w:val="000000"/>
          <w:sz w:val="20"/>
        </w:rPr>
        <w:t>The exhibits listed below are filed, furnished, or incorporated by reference into this Quarterly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1"/>
        <w:gridCol w:w="146"/>
        <w:gridCol w:w="4878"/>
        <w:gridCol w:w="146"/>
        <w:gridCol w:w="466"/>
        <w:gridCol w:w="146"/>
        <w:gridCol w:w="741"/>
        <w:gridCol w:w="146"/>
        <w:gridCol w:w="903"/>
        <w:gridCol w:w="146"/>
        <w:gridCol w:w="676"/>
        <w:gridCol w:w="146"/>
        <w:gridCol w:w="954"/>
      </w:tblGrid>
      <w:tr>
        <w:trPr/>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370"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Incorporated by Reference</w:t>
            </w:r>
          </w:p>
        </w:tc>
        <w:tc>
          <w:tcPr>
            <w:tcW w:w="9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11" w:type="dxa"/>
            <w:tcBorders/>
            <w:vAlign w:val="center"/>
          </w:tcPr>
          <w:p>
            <w:pPr>
              <w:pStyle w:val="TableContents"/>
              <w:bidi w:val="0"/>
              <w:jc w:val="left"/>
              <w:rPr>
                <w:rFonts w:ascii="Calibri;sans-serif" w:hAnsi="Calibri;sans-serif"/>
                <w:b/>
                <w:color w:val="000000"/>
                <w:sz w:val="16"/>
              </w:rPr>
            </w:pPr>
            <w:r>
              <w:rPr>
                <w:rFonts w:ascii="Calibri;sans-serif" w:hAnsi="Calibri;sans-serif"/>
                <w:b/>
                <w:color w:val="000000"/>
                <w:sz w:val="16"/>
              </w:rPr>
              <w:t>Exhibit</w:t>
            </w:r>
          </w:p>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rFonts w:ascii="Calibri;sans-serif" w:hAnsi="Calibri;sans-serif"/>
                <w:b/>
                <w:color w:val="000000"/>
                <w:sz w:val="16"/>
              </w:rPr>
            </w:pPr>
            <w:r>
              <w:rPr>
                <w:rFonts w:ascii="Calibri;sans-serif" w:hAnsi="Calibri;sans-serif"/>
                <w:b/>
                <w:color w:val="000000"/>
                <w:sz w:val="16"/>
              </w:rPr>
              <w:t>Exhibit Description</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Form</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File</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Filing</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Date</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Exhibit</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Number</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jc w:val="center"/>
              <w:rPr>
                <w:rFonts w:ascii="Calibri;sans-serif" w:hAnsi="Calibri;sans-serif"/>
                <w:b/>
                <w:color w:val="000000"/>
                <w:sz w:val="16"/>
              </w:rPr>
            </w:pPr>
            <w:r>
              <w:rPr>
                <w:rFonts w:ascii="Calibri;sans-serif" w:hAnsi="Calibri;sans-serif"/>
                <w:b/>
                <w:color w:val="000000"/>
                <w:sz w:val="16"/>
              </w:rPr>
              <w:t>Filed or Furnished</w:t>
            </w:r>
          </w:p>
          <w:p>
            <w:pPr>
              <w:pStyle w:val="TableContents"/>
              <w:bidi w:val="0"/>
              <w:spacing w:before="0" w:after="283"/>
              <w:jc w:val="center"/>
              <w:rPr>
                <w:rFonts w:ascii="Calibri;sans-serif" w:hAnsi="Calibri;sans-serif"/>
                <w:b/>
                <w:color w:val="000000"/>
                <w:sz w:val="16"/>
              </w:rPr>
            </w:pPr>
            <w:r>
              <w:rPr>
                <w:rFonts w:ascii="Calibri;sans-serif" w:hAnsi="Calibri;sans-serif"/>
                <w:b/>
                <w:color w:val="000000"/>
                <w:sz w:val="16"/>
              </w:rPr>
              <w:t>Herewith</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3.1</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r:id="rId3">
              <w:r>
                <w:rPr>
                  <w:rStyle w:val="InternetLink"/>
                  <w:rFonts w:ascii="Calibri;sans-serif" w:hAnsi="Calibri;sans-serif"/>
                  <w:color w:val="0000FF"/>
                  <w:sz w:val="20"/>
                  <w:u w:val="single"/>
                </w:rPr>
                <w:t>Amended and Restated Certificate of Incorporation of the Registrant.</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001-38233</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October 16, 2017</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3.1</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pPr>
            <w:r>
              <w:rPr/>
              <w:t> </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3.2</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r:id="rId4">
              <w:r>
                <w:rPr>
                  <w:rStyle w:val="InternetLink"/>
                  <w:rFonts w:ascii="Calibri;sans-serif" w:hAnsi="Calibri;sans-serif"/>
                  <w:color w:val="0000FF"/>
                  <w:sz w:val="20"/>
                  <w:u w:val="single"/>
                </w:rPr>
                <w:t>Certificate of Amendment to the Fourth Amended and Restated Certificate of Incorporation of the Registrant.</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001-38233</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June 6, 2024</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3.1</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pPr>
            <w:r>
              <w:rPr/>
              <w:t> </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3.3</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r:id="rId5">
              <w:r>
                <w:rPr>
                  <w:rStyle w:val="InternetLink"/>
                  <w:rFonts w:ascii="Calibri;sans-serif" w:hAnsi="Calibri;sans-serif"/>
                  <w:color w:val="0000FF"/>
                  <w:sz w:val="20"/>
                  <w:u w:val="single"/>
                </w:rPr>
                <w:t>Third Amended and Restated By-laws of the Registrant.</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8-K</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001-38233</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June 6, 2024</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3.2</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pPr>
            <w:r>
              <w:rPr/>
              <w:t> </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w:anchor="carg-ex10_1.htm">
              <w:r>
                <w:rPr>
                  <w:rStyle w:val="InternetLink"/>
                  <w:rFonts w:ascii="Calibri;sans-serif" w:hAnsi="Calibri;sans-serif"/>
                  <w:color w:val="0000FF"/>
                  <w:sz w:val="20"/>
                  <w:u w:val="single"/>
                </w:rPr>
                <w:t>Offer Letter, dated September 29, 2023, by and between the Registrant and Zachary Hallowell.</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10.2</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w:anchor="carg-ex10_2.htm">
              <w:r>
                <w:rPr>
                  <w:rStyle w:val="InternetLink"/>
                  <w:rFonts w:ascii="Calibri;sans-serif" w:hAnsi="Calibri;sans-serif"/>
                  <w:color w:val="0000FF"/>
                  <w:sz w:val="20"/>
                  <w:u w:val="single"/>
                </w:rPr>
                <w:t>Change Orders dated April 12, 2024 and May 3, 2024 to Indenture of Lease between P-12 Property LLC (as successor-in-interest to S&amp;A P-12 Property LLC) and the Registrant, dated as of December 19, 2019, as amended.*</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10.3</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w:anchor="carg-ex10_3.htm">
              <w:r>
                <w:rPr>
                  <w:rStyle w:val="InternetLink"/>
                  <w:rFonts w:ascii="Calibri;sans-serif" w:hAnsi="Calibri;sans-serif"/>
                  <w:color w:val="0000FF"/>
                  <w:sz w:val="20"/>
                  <w:u w:val="single"/>
                </w:rPr>
                <w:t>Second Amendment to Sublease, dated April 30, 2024, by and between the Registrant and HubSpot, Inc.</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31.1</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w:anchor="carg-ex31_1.htm">
              <w:r>
                <w:rPr>
                  <w:rStyle w:val="InternetLink"/>
                  <w:rFonts w:ascii="Calibri;sans-serif" w:hAnsi="Calibri;sans-serif"/>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31.2</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w:anchor="carg-ex31_2.htm">
              <w:r>
                <w:rPr>
                  <w:rStyle w:val="InternetLink"/>
                  <w:rFonts w:ascii="Calibri;sans-serif" w:hAnsi="Calibri;sans-serif"/>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32.1**</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w:anchor="carg-ex32_1.htm">
              <w:r>
                <w:rPr>
                  <w:rStyle w:val="InternetLink"/>
                  <w:rFonts w:ascii="Calibri;sans-serif" w:hAnsi="Calibri;sans-serif"/>
                  <w:color w:val="0000FF"/>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32.2**</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pPr>
            <w:hyperlink w:anchor="carg-ex32_2.htm">
              <w:r>
                <w:rPr>
                  <w:rStyle w:val="InternetLink"/>
                  <w:rFonts w:ascii="Calibri;sans-serif" w:hAnsi="Calibri;sans-serif"/>
                  <w:color w:val="0000FF"/>
                  <w:sz w:val="20"/>
                  <w:u w:val="single"/>
                </w:rPr>
                <w:t>Certification of Principal Financial Officer pursuant to 18 U.S.C. Section 1350, as adopted pursuant to Section 906 of the Sarbanes-Oxley Act of 2002.</w:t>
              </w:r>
            </w:hyperlink>
            <w:hyperlink w:anchor="carg-ex32_2.htm">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101.INS</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Instance Document-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pPr>
            <w:r>
              <w:rPr/>
              <w:t> </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101.SCH</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Inline XBRL Taxonomy Extension Schema With Embedded Linkbase Documents.</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r>
        <w:trPr/>
        <w:tc>
          <w:tcPr>
            <w:tcW w:w="7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104</w:t>
            </w:r>
          </w:p>
        </w:tc>
        <w:tc>
          <w:tcPr>
            <w:tcW w:w="146" w:type="dxa"/>
            <w:tcBorders/>
            <w:vAlign w:val="center"/>
          </w:tcPr>
          <w:p>
            <w:pPr>
              <w:pStyle w:val="TableContents"/>
              <w:bidi w:val="0"/>
              <w:spacing w:before="0" w:after="283"/>
              <w:jc w:val="left"/>
              <w:rPr/>
            </w:pPr>
            <w:r>
              <w:rPr/>
              <w:t> </w:t>
            </w:r>
          </w:p>
        </w:tc>
        <w:tc>
          <w:tcPr>
            <w:tcW w:w="4878"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Cover Page Interactive Data File (Embedded within the Inline XBRL document and included in Exhibit)</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center"/>
              <w:rPr>
                <w:rFonts w:ascii="Calibri;sans-serif" w:hAnsi="Calibri;sans-serif"/>
                <w:color w:val="000000"/>
                <w:sz w:val="20"/>
              </w:rPr>
            </w:pPr>
            <w:r>
              <w:rPr>
                <w:rFonts w:ascii="Calibri;sans-serif" w:hAnsi="Calibri;sans-serif"/>
                <w:color w:val="000000"/>
                <w:sz w:val="20"/>
              </w:rPr>
              <w:t>X</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sz w:val="20"/>
        </w:rPr>
      </w:pPr>
      <w:r>
        <w:rPr>
          <w:rFonts w:ascii="Calibri;sans-serif" w:hAnsi="Calibri;sans-serif"/>
          <w:color w:val="000000"/>
          <w:sz w:val="20"/>
        </w:rPr>
        <w:t># Indicates a management contract or compensatory plan.</w:t>
      </w:r>
      <w:r>
        <w:rPr>
          <w:rFonts w:ascii="Times New Roman" w:hAnsi="Times New Roman"/>
          <w:color w:val="000000"/>
          <w:sz w:val="20"/>
        </w:rPr>
        <w:t xml:space="preserve"> </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Calibri;sans-serif" w:hAnsi="Calibri;sans-serif"/>
          <w:color w:val="000000"/>
          <w:sz w:val="20"/>
        </w:rPr>
        <w:t>* The exhibits and schedules to this agreement have been omitted pursuant to Item 601(b)(2) of Regulation S-K and the Registrant agrees to furnish supplementally a copy of any omitted schedule to the staff of the SEC upon request.</w:t>
      </w:r>
      <w:r>
        <w:rPr>
          <w:rFonts w:ascii="Times New Roman" w:hAnsi="Times New Roman"/>
          <w:color w:val="000000"/>
          <w:sz w:val="20"/>
        </w:rPr>
        <w:t xml:space="preserve"> </w:t>
      </w:r>
    </w:p>
    <w:p>
      <w:pPr>
        <w:pStyle w:val="TextBody"/>
        <w:bidi w:val="0"/>
        <w:spacing w:before="40" w:after="283"/>
        <w:jc w:val="both"/>
        <w:rPr/>
      </w:pPr>
      <w:r>
        <w:rPr/>
        <w:t> </w:t>
      </w:r>
    </w:p>
    <w:p>
      <w:pPr>
        <w:pStyle w:val="TextBody"/>
        <w:bidi w:val="0"/>
        <w:spacing w:before="40" w:after="283"/>
        <w:jc w:val="both"/>
        <w:rPr>
          <w:rFonts w:ascii="Calibri;sans-serif" w:hAnsi="Calibri;sans-serif"/>
          <w:color w:val="000000"/>
          <w:sz w:val="20"/>
        </w:rPr>
      </w:pPr>
      <w:r>
        <w:rPr>
          <w:rFonts w:ascii="Calibri;sans-serif" w:hAnsi="Calibri;sans-serif"/>
          <w:color w:val="000000"/>
          <w:sz w:val="20"/>
        </w:rPr>
        <w:t>** The certifications furnished in Exhibit 32.1 and Exhibit 32.2 hereto are deemed to accompany this Quarterly Report and will not be deemed “filed” for purposes of Section 18 of the Exchange Act, except to the extent that the Registrant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0" w:name="signatures"/>
      <w:bookmarkEnd w:id="20"/>
      <w:r>
        <w:rPr>
          <w:rFonts w:ascii="Calibri;sans-serif" w:hAnsi="Calibri;sans-serif"/>
          <w:b/>
          <w:color w:val="000000"/>
          <w:sz w:val="20"/>
        </w:rPr>
        <w:t>SIGNATURES</w:t>
      </w:r>
    </w:p>
    <w:p>
      <w:pPr>
        <w:pStyle w:val="TextBody"/>
        <w:bidi w:val="0"/>
        <w:spacing w:before="240" w:after="283"/>
        <w:jc w:val="both"/>
        <w:rPr>
          <w:rFonts w:ascii="Calibri;sans-serif" w:hAnsi="Calibri;sans-serif"/>
          <w:color w:val="000000"/>
          <w:sz w:val="20"/>
        </w:rPr>
      </w:pPr>
      <w:r>
        <w:rPr>
          <w:rFonts w:ascii="Calibri;sans-serif" w:hAnsi="Calibr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537" w:type="dxa"/>
        <w:jc w:val="left"/>
        <w:tblInd w:w="0" w:type="dxa"/>
        <w:tblLayout w:type="fixed"/>
        <w:tblCellMar>
          <w:top w:w="28" w:type="dxa"/>
          <w:left w:w="28" w:type="dxa"/>
          <w:bottom w:w="28" w:type="dxa"/>
          <w:right w:w="28" w:type="dxa"/>
        </w:tblCellMar>
      </w:tblPr>
      <w:tblGrid>
        <w:gridCol w:w="1786"/>
        <w:gridCol w:w="109"/>
        <w:gridCol w:w="346"/>
        <w:gridCol w:w="229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CarGurus,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22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Jason Trevisan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Jason Trevisan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shd w:fill="FFFFFF" w:val="clear"/>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Chief Executive Officer</w:t>
            </w:r>
          </w:p>
          <w:p>
            <w:pPr>
              <w:pStyle w:val="TableContents"/>
              <w:bidi w:val="0"/>
              <w:spacing w:before="0" w:after="283"/>
              <w:jc w:val="left"/>
              <w:rPr>
                <w:rFonts w:ascii="Calibri;sans-serif" w:hAnsi="Calibri;sans-serif"/>
                <w:i/>
                <w:color w:val="000000"/>
                <w:sz w:val="20"/>
              </w:rPr>
            </w:pPr>
            <w:r>
              <w:rPr>
                <w:rFonts w:ascii="Calibri;sans-serif" w:hAnsi="Calibri;sans-serif"/>
                <w:i/>
                <w:color w:val="000000"/>
                <w:sz w:val="20"/>
              </w:rPr>
              <w:t>(Principal Executive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u w:val="single"/>
        </w:rPr>
      </w:pPr>
      <w:bookmarkStart w:id="21" w:name="carg-ex10_1.htm"/>
      <w:bookmarkStart w:id="22" w:name="kscargex10_1"/>
      <w:bookmarkEnd w:id="21"/>
      <w:bookmarkEnd w:id="22"/>
      <w:r>
        <w:rPr>
          <w:rFonts w:ascii="Times New Roman" w:hAnsi="Times New Roman"/>
          <w:b/>
          <w:color w:val="000000"/>
          <w:sz w:val="22"/>
          <w:u w:val="single"/>
        </w:rPr>
        <w:t>Exhibit 10.1</w:t>
      </w:r>
      <w:r>
        <w:br w:type="page"/>
      </w:r>
    </w:p>
    <w:p>
      <w:pPr>
        <w:pStyle w:val="TextBody"/>
        <w:bidi w:val="0"/>
        <w:jc w:val="left"/>
        <w:rPr/>
      </w:pPr>
      <w:r>
        <w:rPr/>
        <w:drawing>
          <wp:inline distT="0" distB="0" distL="0" distR="0">
            <wp:extent cx="2524125"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2524125" cy="400050"/>
                    </a:xfrm>
                    <a:prstGeom prst="rect">
                      <a:avLst/>
                    </a:prstGeom>
                  </pic:spPr>
                </pic:pic>
              </a:graphicData>
            </a:graphic>
          </wp:inline>
        </w:drawing>
      </w:r>
      <w:r>
        <w:rPr/>
        <w:t> </w:t>
      </w:r>
    </w:p>
    <w:p>
      <w:pPr>
        <w:pStyle w:val="TextBody"/>
        <w:bidi w:val="0"/>
        <w:jc w:val="left"/>
        <w:rPr/>
      </w:pPr>
      <w:r>
        <w:rPr/>
        <w:t> </w:t>
      </w:r>
    </w:p>
    <w:p>
      <w:pPr>
        <w:pStyle w:val="TextBody"/>
        <w:bidi w:val="0"/>
        <w:spacing w:before="98"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Zachary Hallowell</w:t>
      </w:r>
    </w:p>
    <w:p>
      <w:pPr>
        <w:pStyle w:val="TextBody"/>
        <w:bidi w:val="0"/>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pPr>
      <w:r>
        <w:rPr/>
        <w:t> </w:t>
      </w:r>
    </w:p>
    <w:p>
      <w:pPr>
        <w:pStyle w:val="TextBody"/>
        <w:bidi w:val="0"/>
        <w:jc w:val="left"/>
        <w:rPr/>
      </w:pPr>
      <w:r>
        <w:rPr/>
        <w:t> </w:t>
      </w:r>
    </w:p>
    <w:p>
      <w:pPr>
        <w:pStyle w:val="TextBody"/>
        <w:bidi w:val="0"/>
        <w:spacing w:before="2"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Dear Zach,</w:t>
      </w:r>
    </w:p>
    <w:p>
      <w:pPr>
        <w:pStyle w:val="TextBody"/>
        <w:bidi w:val="0"/>
        <w:spacing w:before="241" w:after="240"/>
        <w:jc w:val="left"/>
        <w:rPr>
          <w:rFonts w:ascii="Times New Roman" w:hAnsi="Times New Roman"/>
          <w:color w:val="000000"/>
          <w:sz w:val="22"/>
        </w:rPr>
      </w:pPr>
      <w:r>
        <w:rPr>
          <w:rFonts w:ascii="Times New Roman" w:hAnsi="Times New Roman"/>
          <w:color w:val="000000"/>
          <w:sz w:val="22"/>
        </w:rPr>
        <w:t>I am very pleased to offer you the position of Head of Industry Strategy at CarGurus, Inc. (“CarGurus” or the “Company”), reporting to me, Sam Zales, President and Chief Operating Officer. This letter will clarify the terms and conditions of your at-will employment with CarGurus, should you accept our offer. Note, this offer of employment is conditioned on your satisfactory completion of certain requirements, as more fully explained in this letter. Your employment is subject to the terms and conditions set forth in this letter.</w:t>
      </w: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b/>
          <w:color w:val="000000"/>
          <w:sz w:val="22"/>
        </w:rPr>
        <w:t xml:space="preserve">Position. </w:t>
      </w:r>
      <w:r>
        <w:rPr>
          <w:rFonts w:ascii="Times New Roman" w:hAnsi="Times New Roman"/>
          <w:color w:val="000000"/>
          <w:sz w:val="22"/>
        </w:rPr>
        <w:t>Subject to satisfaction of all of the conditions described in this letter, your employment will begin on October 16, 2023 (the “Start Date”). Your primary place of work will be the Company’s main offices, currently located at 2 Canal Park, Cambridge, MA, 02141. We expect that you will perform the duties and responsibilities typically associated with your position, and other duties assigned to you, in a satisfactory manner and to the best of your abilities. You agree to devote your full business time, attention and best efforts to the performance of your duties and to the furtherance of the Company's interests. During the course of your employment with CarGurus, your position and duties are subject to change. Also, you are required to follow the policies and procedures of the Company, as they may exist and be revised during your employment.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Compensation &amp; Benefits.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2"/>
        </w:rPr>
      </w:pPr>
      <w:bookmarkStart w:id="23" w:name="in_consideration_of_your_services_"/>
      <w:bookmarkEnd w:id="23"/>
      <w:r>
        <w:rPr>
          <w:rFonts w:ascii="Times New Roman" w:hAnsi="Times New Roman"/>
          <w:color w:val="000000"/>
          <w:sz w:val="22"/>
        </w:rPr>
        <w:t>In consideration of your services:</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color w:val="000000"/>
          <w:sz w:val="22"/>
        </w:rPr>
        <w:t>Your semi-monthly salary of $17,708.34, annualized at $425,000.00 (the “Base Salary”), will be paid semimonthly on the 15</w:t>
      </w:r>
      <w:r>
        <w:rPr>
          <w:rFonts w:ascii="Times New Roman" w:hAnsi="Times New Roman"/>
          <w:color w:val="000000"/>
          <w:sz w:val="15"/>
        </w:rPr>
        <w:t>th</w:t>
      </w:r>
      <w:r>
        <w:rPr>
          <w:color w:val="000000"/>
        </w:rPr>
        <w:t xml:space="preserve"> </w:t>
      </w:r>
      <w:r>
        <w:rPr>
          <w:rFonts w:ascii="Times New Roman" w:hAnsi="Times New Roman"/>
          <w:color w:val="000000"/>
          <w:sz w:val="22"/>
        </w:rPr>
        <w:t>day and last day of each month and subject to taxes and other withholdings required by law. As an exempt employee you are required to exercise your specialized expertise, independent judgment and discretion to provide high-quality services. You are expected to work the number of hours required to meet the needs of the business.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1"/>
        </w:rPr>
      </w:pPr>
      <w:r>
        <w:rPr>
          <w:rFonts w:ascii="Times New Roman" w:hAnsi="Times New Roman"/>
          <w:color w:val="000000"/>
          <w:sz w:val="21"/>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will be eligible to participate in the CarGurus Annual Incentive Plan, through which you may be eligible to earn a discretionary bonus up to $325,000.00, less applicable taxes and withholdings. For the current fiscal year, the amount you are eligible to earn under the CarGurus Annual Incentive Plan will be prorated based upon your start date. Whether to grant a bonus, and in what amount, are determinations to be made in the sole discretion of the Company based on a variety of factors, including, but not limited to, your performance and the Company’s performance. In order to remain eligible and receive a bonus award, if any, you must be employed by the Company at the time it makes bonus payments to employees for that year. This discretionary bonus is not intended to and shall not be deemed a “wage” under any state or federal wage hour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color w:val="000000"/>
          <w:sz w:val="21"/>
        </w:rPr>
      </w:pPr>
      <w:r>
        <w:rPr>
          <w:rFonts w:ascii="Times New Roman" w:hAnsi="Times New Roman"/>
          <w:color w:val="000000"/>
          <w:sz w:val="21"/>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You will be eligible for a one time Sign-On Bonus of $300,000.00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r>
        <w:rPr>
          <w:rFonts w:ascii="Times New Roman" w:hAnsi="Times New Roman"/>
          <w:color w:val="000000"/>
          <w:sz w:val="22"/>
        </w:rPr>
        <w:t>Sign-On Bonus”), less applicable taxes and withholdings, to be paid as follows: 100% of the Sign-On Bonus within the first sixty days from your Start Date. Should your employment with CarGurus terminate, for any reason, within 12 months, or on the one-year anniversary, of your Start Date, you must immediately repay to CarGurus the Sign-On Bonus (or portion(s) thereof) that you received. In the event of such termination, CarGurus may, in its discretion, also deduct any unreturned Sign-On Bonus amount from any compensation, severance, commission or other amount due to you, subject to applicable laws.</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will be eligible to participate in the Company’s benefit plans on your first day of employment. Your participation in these plans will be subject to the terms of the applicable plan documents and generally applicable policies of the Company, as the same may be in effect from time to time. No representation is made, however, that any specific benefits now available will continue or that any other benefits will be made available. During your first two (2) years of employment with the Company, you will be entitled to four (4) weeks’ paid vacation annually at such reasonable times as you and the Company may determine. Commencing with your third year of employment with the company, you will be entitled to the number of paid vacation days annually in accordance with the Company’s then standard vacation and paid time off policies. Additional information regarding the Company’s benefit plans will be provided under separate cover.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b/>
          <w:color w:val="000000"/>
          <w:sz w:val="22"/>
        </w:rPr>
        <w:t xml:space="preserve">Eligibility to Participate in Omnibus Incentive Compensation Plan. </w:t>
      </w:r>
      <w:r>
        <w:rPr>
          <w:rFonts w:ascii="Times New Roman" w:hAnsi="Times New Roman"/>
          <w:color w:val="000000"/>
          <w:sz w:val="22"/>
        </w:rPr>
        <w:t>You will be eligible to participate in the Company’s Omnibus Incentive Compensation Plan (the “Plan”), under which the Company grants to employees restricted stock units (“RSUs”) that are subject to service-based vesting conditions. We are prepared to recommend to the Company’s Board of Directors (or its committee) an award, a 'New Hire Grant' consisting of RSUs representing shares of the Company’s Class A common stock with an award value of $1,800,000.00 (the “RSU Award Value”). The ‘New Hire Grant’ vesting schedule will be 4 years, with the first 25% of the RSUs vesting on the first anniversary of the vesting start date and an additional 6.25% of the RSUs vesting at the end of each three month period thereafter. Additionally, we are prepared to recommend to the Company’s Board of Directors (or its committee) an award, a 'One-Time Grant 'consisting of RSUs representing shares of the Company’s Class A common stock with an award value of $1,000,000.00 (the “RSU Award Value”). The ‘One-Time Grant’ vesting schedule will be 2 years, at 12.50% per quarter beginning on January 1, 2024. Any such grant of RSUs is subject to the approval of the Company’s Board of Directors (or its committee) and to the terms and conditions of the Plan and the RSU grant agreement on the form for executive officers evidencing the terms and conditions of the grant, including the service-based vesting schedule and applicable acceleration provisions. The Board of Directors (or its committee) retains the discretion to change the RSU Award Value, or to determine not to grant any RSUs to you whatsoever. The number of RSUs to be awarded to you will be based on dividing the RSU Award Value by the closing price of CarGurus’ Class A common stock on the Nasdaq Stock Market on the grant approval date, rounded down to the nearest whole share.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b/>
          <w:color w:val="000000"/>
          <w:sz w:val="22"/>
        </w:rPr>
        <w:t>Modification of Compensation and Incentive Plans</w:t>
      </w:r>
      <w:r>
        <w:rPr>
          <w:rFonts w:ascii="Times New Roman" w:hAnsi="Times New Roman"/>
          <w:color w:val="000000"/>
          <w:sz w:val="22"/>
        </w:rPr>
        <w:t>. The Company reserves the right, in its sole discretion, to modify, change or eliminate, on a prospective basis, the compensation, bonus and incentive plans, as applicable, addressed in Sections 2 and 3 above.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5.</w:t>
      </w:r>
    </w:p>
    <w:p>
      <w:pPr>
        <w:pStyle w:val="TextBody"/>
        <w:bidi w:val="0"/>
        <w:spacing w:before="0" w:after="240"/>
        <w:jc w:val="left"/>
        <w:rPr/>
      </w:pPr>
      <w:r>
        <w:rPr>
          <w:rFonts w:ascii="Times New Roman" w:hAnsi="Times New Roman"/>
          <w:b/>
          <w:color w:val="000000"/>
          <w:sz w:val="22"/>
        </w:rPr>
        <w:t xml:space="preserve">Protection of the Company’s Confidential Information and Goodwill. </w:t>
      </w:r>
      <w:r>
        <w:rPr>
          <w:rFonts w:ascii="Times New Roman" w:hAnsi="Times New Roman"/>
          <w:color w:val="000000"/>
          <w:sz w:val="22"/>
        </w:rPr>
        <w:t xml:space="preserve">In order to protect the Company’s substantial investment of time and money in the creation and maintaining of its trade secrets and other confidential and proprietary information, as well as its goodwill with its clients and business partners, including vendors, suppliers and others, you are required to sign the Company’s standard Protection of Confidential Information Agreement (“NDA”), a copy of which is attached to this letter. The terms and conditions of the NDA will remain in effect regardless of any change in the nature of your duties, compensation or employment with the Company and its </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affiliates.</w:t>
      </w:r>
    </w:p>
    <w:p>
      <w:pPr>
        <w:pStyle w:val="TextBody"/>
        <w:bidi w:val="0"/>
        <w:spacing w:before="0" w:after="240"/>
        <w:jc w:val="left"/>
        <w:rPr>
          <w:rFonts w:ascii="Times New Roman" w:hAnsi="Times New Roman"/>
          <w:b/>
          <w:color w:val="000000"/>
          <w:sz w:val="21"/>
        </w:rPr>
      </w:pPr>
      <w:r>
        <w:rPr>
          <w:rFonts w:ascii="Times New Roman" w:hAnsi="Times New Roman"/>
          <w:b/>
          <w:color w:val="000000"/>
          <w:sz w:val="21"/>
        </w:rPr>
        <w:t>6.</w:t>
      </w:r>
    </w:p>
    <w:p>
      <w:pPr>
        <w:pStyle w:val="TextBody"/>
        <w:bidi w:val="0"/>
        <w:spacing w:before="0" w:after="240"/>
        <w:jc w:val="left"/>
        <w:rPr/>
      </w:pPr>
      <w:r>
        <w:rPr>
          <w:rFonts w:ascii="Times New Roman" w:hAnsi="Times New Roman"/>
          <w:b/>
          <w:color w:val="000000"/>
          <w:sz w:val="22"/>
        </w:rPr>
        <w:t>Representations and Warranties</w:t>
      </w:r>
      <w:r>
        <w:rPr>
          <w:rFonts w:ascii="Times New Roman" w:hAnsi="Times New Roman"/>
          <w:color w:val="000000"/>
          <w:sz w:val="22"/>
        </w:rPr>
        <w:t>. By accepting this offer, you represent that you are able to accept this job and carry out the work that it would involve without breaching any legal restrictions on your activities, such as non-competition, non-solicitation or other work-related restrictions imposed by a current or former employer. You also represent that you will inform the Company about any such restrictions and provide the Company with as much information about them as possible, including any agreements between you and your current or former employer describing such restrictions on your activities. You further confirm that you will not remove or take any documents or proprietary data or materials of any kind, electronic or otherwise, with you from your current or former employer to the Company without written authorization from your current or former employer, nor will you use or disclose any such confidential information during the course and scope of your employment with the Company. If you have any questions about the ownership of particular documents or other information, you should discuss such questions with your former employer before removing or copying the documents or information.</w:t>
      </w:r>
    </w:p>
    <w:p>
      <w:pPr>
        <w:pStyle w:val="TextBody"/>
        <w:bidi w:val="0"/>
        <w:spacing w:before="0" w:after="0"/>
        <w:jc w:val="left"/>
        <w:rPr>
          <w:rFonts w:ascii="Times New Roman" w:hAnsi="Times New Roman"/>
          <w:b/>
          <w:color w:val="000000"/>
          <w:sz w:val="21"/>
        </w:rPr>
      </w:pPr>
      <w:r>
        <w:rPr>
          <w:rFonts w:ascii="Times New Roman" w:hAnsi="Times New Roman"/>
          <w:b/>
          <w:color w:val="000000"/>
          <w:sz w:val="21"/>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Contingent Offer.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left"/>
        <w:rPr>
          <w:rFonts w:ascii="Times New Roman" w:hAnsi="Times New Roman"/>
          <w:color w:val="000000"/>
          <w:sz w:val="22"/>
        </w:rPr>
      </w:pPr>
      <w:bookmarkStart w:id="24" w:name="this_offer_is_contingent_upon_"/>
      <w:bookmarkEnd w:id="24"/>
      <w:r>
        <w:rPr>
          <w:rFonts w:ascii="Times New Roman" w:hAnsi="Times New Roman"/>
          <w:color w:val="000000"/>
          <w:sz w:val="22"/>
        </w:rPr>
        <w:t>This offer is contingent upon:</w:t>
      </w:r>
    </w:p>
    <w:p>
      <w:pPr>
        <w:pStyle w:val="TextBody"/>
        <w:bidi w:val="0"/>
        <w:spacing w:before="239" w:after="283"/>
        <w:jc w:val="left"/>
        <w:rPr>
          <w:rFonts w:ascii="Times New Roman" w:hAnsi="Times New Roman"/>
          <w:color w:val="000000"/>
          <w:sz w:val="21"/>
        </w:rPr>
      </w:pPr>
      <w:r>
        <w:rPr>
          <w:rFonts w:ascii="Times New Roman" w:hAnsi="Times New Roman"/>
          <w:color w:val="000000"/>
          <w:sz w:val="21"/>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Verification of your right to work in the United States, as demonstrated by your completion of an I-9 form upon hire and your submission of acceptable documentation (as noted on the I-9 form) verifying your identity and work authorization within three days of your Start Date. You will receive an email from HireRight to complete your Form I-9. Please bring the appropriate documents listed on this form with on your Start Date. If you fail to submit such proof, federal law prohibits us from commencing employment.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1"/>
        </w:rPr>
      </w:pPr>
      <w:r>
        <w:rPr>
          <w:rFonts w:ascii="Times New Roman" w:hAnsi="Times New Roman"/>
          <w:color w:val="000000"/>
          <w:sz w:val="21"/>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Satisfactory completion of a background investigation which includes, but is not limited to, previous employment, education, and criminal history.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left"/>
        <w:rPr>
          <w:rFonts w:ascii="Times New Roman" w:hAnsi="Times New Roman"/>
          <w:color w:val="000000"/>
          <w:sz w:val="21"/>
        </w:rPr>
      </w:pPr>
      <w:r>
        <w:rPr>
          <w:rFonts w:ascii="Times New Roman" w:hAnsi="Times New Roman"/>
          <w:color w:val="000000"/>
          <w:sz w:val="21"/>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Your execution of the Company's enclosed Non-Disclosure Agreement (“NDA”).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Your compliance with Section 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left"/>
        <w:rPr>
          <w:rFonts w:ascii="Times New Roman" w:hAnsi="Times New Roman"/>
          <w:color w:val="000000"/>
          <w:sz w:val="22"/>
        </w:rPr>
      </w:pPr>
      <w:bookmarkStart w:id="25" w:name="this_offer_will_be_withdrawn_if_any_of_t"/>
      <w:bookmarkEnd w:id="25"/>
      <w:r>
        <w:rPr>
          <w:rFonts w:ascii="Times New Roman" w:hAnsi="Times New Roman"/>
          <w:color w:val="000000"/>
          <w:sz w:val="22"/>
        </w:rPr>
        <w:t>This offer will be withdrawn if any of the above conditions are not satisfied. The Company may terminate your employment if any of the above conditions are not satisfied</w:t>
      </w:r>
    </w:p>
    <w:p>
      <w:pPr>
        <w:pStyle w:val="TextBody"/>
        <w:bidi w:val="0"/>
        <w:spacing w:before="240" w:after="283"/>
        <w:jc w:val="both"/>
        <w:rPr>
          <w:rFonts w:ascii="Times New Roman" w:hAnsi="Times New Roman"/>
          <w:b/>
          <w:color w:val="000000"/>
          <w:sz w:val="21"/>
        </w:rPr>
      </w:pPr>
      <w:r>
        <w:rPr>
          <w:rFonts w:ascii="Times New Roman" w:hAnsi="Times New Roman"/>
          <w:b/>
          <w:color w:val="000000"/>
          <w:sz w:val="21"/>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b/>
          <w:color w:val="000000"/>
          <w:sz w:val="22"/>
        </w:rPr>
        <w:t xml:space="preserve">Payment on Termination by the Company without Cause or by you for Good Reason. </w:t>
      </w:r>
      <w:r>
        <w:rPr>
          <w:rFonts w:ascii="Times New Roman" w:hAnsi="Times New Roman"/>
          <w:color w:val="000000"/>
          <w:sz w:val="22"/>
        </w:rPr>
        <w:t>Should your employment be terminated by the Company without “Cause” (as that term is defined in the NDA) or by you for “Good Reason” (as defined below), then in addition to payment of all wages earned through the effective date of such termination (the “Termination Date”), which will be made on or about the Termination Date, and subject to (i) your signing a Separation Agreement and Release in a form and manner satisfactory to the Company, as further described below; and (ii) the Separation Agreement and Release becoming irrevocable, all within 60 days after the Termination Date (or such shorter period as set forth in the Separation Agreement and Release), including any applicable seven (7) business day revocation period provided therein: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Company will pay you an amount equal to nine (9) months of your Base Salary (the “Severance Amount”);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1"/>
        </w:rPr>
      </w:pPr>
      <w:r>
        <w:rPr>
          <w:rFonts w:ascii="Times New Roman" w:hAnsi="Times New Roman"/>
          <w:color w:val="000000"/>
          <w:sz w:val="21"/>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subject to your copayment of premium amounts at the applicable active employees’ rate and your proper election to receive benefits under the Consolidated Omnibus Budget Reconciliation Act of 1985, as amended (“COBRA”), the Company will pay to the group health plan provider, the COBRA provider or you a monthly payment equal to the monthly employer contribution that the Company would have made to provide health insurance to you if you had remained employed by the Company until the earliest of (A) the nine (9)-month anniversary of the Termination Date;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will convert such payments to payroll payments directly to you for the time period specified above (the “COBRA Subsidy”). Such payments shall be subject to tax-related deductions and withholdings and paid on the Company’s regular payroll dates.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The amounts payable under this Section 8, to the extent taxable, will be paid out in substantially equal installments in accordance with the Company’s payroll practice over six (6) months commencing within 60 days after the Termination Date;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will include a catch-up payment to cover amounts retroactive to the day immediately following the Termination Date. Each payment pursuant to this Agreement is intended to constitute a separate payment for purposes of Treasury Regulation Section 1.409A-2(b)(2).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Your receipt of the Severance Pay and COBRA Subsidy will be conditional on your signing (and, if applicable, not revoking) a Separation Agreement and Release in a form acceptable to the Company, including a general release of claims against the Company and all related persons and entities, a reaffirmation of all of your post-employment obligations under the NDA, and, in the Company’s sole discretion, a one-year post-employment noncompetition agreement substantially similar to or the same as the noncompetition provision of the NDA. Further, the Separation Agreement and Release will provide that if you breach the NDA, all payments of the Severance Amount and COBRA Subsidy will immediately cease and be recoverable by the Company.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 purposes of this letter, “Good Reason” means you have complied with the Good Reason Process (as defined below) following the occurrence of any of the following events, without your consent: (i) a material diminution in the your title, responsibilities, authority or duties; (ii) a material diminution in your base salary or target bonus, except for across-the-board reductions based on the Company’s financial performance similarly affecting all or substantially all senior management employees of the Company; (iii) a material change in the principal geographic location at which you provide services to the Company (with the exception of travel related to your duties to the Company); or (iv) the material breach by the Company of the written employment agreement, offer letter or severance agreement between you and the Company; and “Good Reason Process” means (i) you reasonably determine in good faith that a “Good Reason” condition has occurred; (ii) you have notified the Company in writing of the first occurrence of the Good Reason condition within thirty (30) days of the first occurrence of such condition; (iii) you cooperate in good faith with the Company’s efforts, for a period not less than thirty (30) days following such notice (the “Cure Period”), to remedy the condition; (iv) notwithstanding such efforts, the Good Reason condition continues to exist; and (v) you terminate your employment within thirty (30) days after the end of the Cure Period. If the Company cures the Good Reason condition during the Cure Period, Good Reason shall be deemed not to have occurred.</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1"/>
        </w:rPr>
      </w:pPr>
      <w:r>
        <w:rPr>
          <w:rFonts w:ascii="Times New Roman" w:hAnsi="Times New Roman"/>
          <w:b/>
          <w:color w:val="000000"/>
          <w:sz w:val="21"/>
        </w:rPr>
        <w:t>9.</w:t>
      </w:r>
    </w:p>
    <w:p>
      <w:pPr>
        <w:pStyle w:val="TextBody"/>
        <w:bidi w:val="0"/>
        <w:spacing w:before="240" w:after="283"/>
        <w:jc w:val="left"/>
        <w:rPr/>
      </w:pPr>
      <w:r>
        <w:rPr>
          <w:rFonts w:ascii="Times New Roman" w:hAnsi="Times New Roman"/>
          <w:b/>
          <w:color w:val="000000"/>
          <w:sz w:val="22"/>
        </w:rPr>
        <w:t xml:space="preserve">Nature of Relationship; Choice of Law. </w:t>
      </w:r>
      <w:r>
        <w:rPr>
          <w:rFonts w:ascii="Times New Roman" w:hAnsi="Times New Roman"/>
          <w:color w:val="000000"/>
          <w:sz w:val="22"/>
        </w:rPr>
        <w:t>While we are hopeful and confident that our relationship will be mutually rewarding, satisfactory and sustaining. As explained further in Section 10, your employment with the Company is at will, which means that both you and the Company remain free to end the employment relationship at any time and for any reason. Accordingly, this letter shall not be construed as an agreement, either express or implied, to employ you for any particular term, and does not alter the Company’s at will employment policy with respect to your employment. Similarly, nothing in this letter shall be construed as an agreement, either express or implied, to pay you any compensation of any kind, or grant you any benefit, beyond the end of your employment with the Company, other than any payments for which you may become eligible by operation of Section 8.</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you will regularly perform your duties at any of the Company’s business locations in Massachusetts, then all aspects of your employment shall be governed by and construed in accordance with the laws of the Commonwealth of Massachusetts, excluding choice of law rules thereof. If you reside and you will regularly perform your duties for the Company outside of Massachusetts, then all aspects of your employment (except for the NDA, which in such case would be governed by Delaware law), shall be governed by and construed in accordance with the laws of state where you reside.</w:t>
      </w:r>
    </w:p>
    <w:p>
      <w:pPr>
        <w:pStyle w:val="TextBody"/>
        <w:bidi w:val="0"/>
        <w:jc w:val="left"/>
        <w:rPr/>
      </w:pPr>
      <w:r>
        <w:rPr/>
        <w:t> </w:t>
      </w:r>
    </w:p>
    <w:p>
      <w:pPr>
        <w:pStyle w:val="TextBody"/>
        <w:bidi w:val="0"/>
        <w:spacing w:before="0" w:after="0"/>
        <w:jc w:val="left"/>
        <w:rPr>
          <w:rFonts w:ascii="Times New Roman" w:hAnsi="Times New Roman"/>
          <w:b/>
          <w:color w:val="000000"/>
          <w:sz w:val="21"/>
        </w:rPr>
      </w:pPr>
      <w:r>
        <w:rPr>
          <w:rFonts w:ascii="Times New Roman" w:hAnsi="Times New Roman"/>
          <w:b/>
          <w:color w:val="000000"/>
          <w:sz w:val="21"/>
        </w:rPr>
        <w:t>10.</w:t>
      </w:r>
    </w:p>
    <w:p>
      <w:pPr>
        <w:pStyle w:val="TextBody"/>
        <w:bidi w:val="0"/>
        <w:jc w:val="left"/>
        <w:rPr/>
      </w:pPr>
      <w:r>
        <w:rPr>
          <w:rFonts w:ascii="Times New Roman" w:hAnsi="Times New Roman"/>
          <w:b/>
          <w:color w:val="000000"/>
          <w:sz w:val="22"/>
        </w:rPr>
        <w:t xml:space="preserve">At-Will Employment. </w:t>
      </w:r>
      <w:r>
        <w:rPr>
          <w:rFonts w:ascii="Times New Roman" w:hAnsi="Times New Roman"/>
          <w:color w:val="000000"/>
          <w:sz w:val="22"/>
        </w:rPr>
        <w:t>Your employment with the Company will be for no specific period of time. Rather, your employment will be at-will, meaning that you or the Company may terminate the employment relationship at any time, with or without cause, and with or without notice and for any reason or no particular reason. Although your compensation and benefits may change from time to time, the at-will nature of your employment may only be changed by an express written agreement signed by an authorized officer of the Company.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Zach, we look forward to you joining our organization. In order to confirm your intention to commence employment with CarGurus on the Start Date on the terms set forth in this letter, please sign and return to me this letter and the NDA. If you have any questions, please do not hesitate to speak with me.</w:t>
      </w:r>
    </w:p>
    <w:p>
      <w:pPr>
        <w:pStyle w:val="TextBody"/>
        <w:bidi w:val="0"/>
        <w:spacing w:before="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Sincerely,</w:t>
      </w:r>
    </w:p>
    <w:p>
      <w:pPr>
        <w:pStyle w:val="TextBody"/>
        <w:bidi w:val="0"/>
        <w:jc w:val="left"/>
        <w:rPr/>
      </w:pPr>
      <w:r>
        <w:rPr/>
        <w:t> </w:t>
      </w:r>
    </w:p>
    <w:p>
      <w:pPr>
        <w:pStyle w:val="TextBody"/>
        <w:bidi w:val="0"/>
        <w:spacing w:before="240" w:after="283"/>
        <w:jc w:val="left"/>
        <w:rPr>
          <w:rFonts w:ascii="Times New Roman" w:hAnsi="Times New Roman"/>
          <w:color w:val="000000"/>
          <w:sz w:val="22"/>
          <w:u w:val="single"/>
        </w:rPr>
      </w:pPr>
      <w:r>
        <w:rPr>
          <w:rFonts w:ascii="Times New Roman" w:hAnsi="Times New Roman"/>
          <w:color w:val="000000"/>
          <w:sz w:val="22"/>
          <w:u w:val="single"/>
        </w:rPr>
        <w:t xml:space="preserve">/s/ Sam Zales </w:t>
      </w:r>
    </w:p>
    <w:p>
      <w:pPr>
        <w:pStyle w:val="TextBody"/>
        <w:bidi w:val="0"/>
        <w:jc w:val="left"/>
        <w:rPr>
          <w:rFonts w:ascii="Times New Roman" w:hAnsi="Times New Roman"/>
          <w:color w:val="000000"/>
          <w:sz w:val="22"/>
        </w:rPr>
      </w:pPr>
      <w:r>
        <w:rPr>
          <w:rFonts w:ascii="Times New Roman" w:hAnsi="Times New Roman"/>
          <w:color w:val="000000"/>
          <w:sz w:val="22"/>
        </w:rPr>
        <w:t>Sam Zales</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President and Chief Operating Officer CarGurus,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ACKNOWLEDGEMENT AND AGREEMENT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 have read and understood and I accept all the terms of the offer of employment as set forth in the foregoing letter. I have not relied on any agreements or representations, express or implied, that are not set forth expressly in the foregoing letter, and this letter supersedes all prior and contemporaneous understandings, agreements, representations and warranties, both written and oral, with respect to the subject matter of this letter. I will commence employment on the Start Date on the terms set forth in this letter.</w:t>
      </w:r>
    </w:p>
    <w:p>
      <w:pPr>
        <w:pStyle w:val="TextBody"/>
        <w:bidi w:val="0"/>
        <w:spacing w:before="12" w:after="283"/>
        <w:jc w:val="left"/>
        <w:rPr/>
      </w:pPr>
      <w:r>
        <w:rPr/>
        <w:t> </w:t>
      </w:r>
    </w:p>
    <w:p>
      <w:pPr>
        <w:pStyle w:val="TextBody"/>
        <w:bidi w:val="0"/>
        <w:spacing w:before="12" w:after="283"/>
        <w:jc w:val="left"/>
        <w:rPr>
          <w:rFonts w:ascii="Times New Roman" w:hAnsi="Times New Roman"/>
          <w:color w:val="000000"/>
          <w:sz w:val="22"/>
          <w:u w:val="single"/>
        </w:rPr>
      </w:pPr>
      <w:r>
        <w:rPr>
          <w:rFonts w:ascii="Times New Roman" w:hAnsi="Times New Roman"/>
          <w:color w:val="000000"/>
          <w:sz w:val="22"/>
          <w:u w:val="single"/>
        </w:rPr>
        <w:t xml:space="preserve">/s/ Zachary Hallowell 9/29/2023 </w:t>
      </w:r>
    </w:p>
    <w:p>
      <w:pPr>
        <w:pStyle w:val="TextBody"/>
        <w:bidi w:val="0"/>
        <w:spacing w:before="12" w:after="283"/>
        <w:jc w:val="left"/>
        <w:rPr>
          <w:rFonts w:ascii="Times New Roman" w:hAnsi="Times New Roman"/>
          <w:color w:val="000000"/>
          <w:sz w:val="22"/>
        </w:rPr>
      </w:pPr>
      <w:r>
        <w:rPr>
          <w:rFonts w:ascii="Times New Roman" w:hAnsi="Times New Roman"/>
          <w:color w:val="000000"/>
          <w:sz w:val="22"/>
        </w:rPr>
        <w:t>Zachary Hallowell Date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CarGurus, Inc.</w:t>
      </w:r>
    </w:p>
    <w:p>
      <w:pPr>
        <w:pStyle w:val="TextBody"/>
        <w:bidi w:val="0"/>
        <w:spacing w:before="237" w:after="283"/>
        <w:jc w:val="center"/>
        <w:rPr>
          <w:rFonts w:ascii="Times New Roman" w:hAnsi="Times New Roman"/>
          <w:sz w:val="20"/>
        </w:rPr>
      </w:pPr>
      <w:bookmarkStart w:id="26" w:name="protection_of_confidential_information_a"/>
      <w:bookmarkEnd w:id="26"/>
      <w:r>
        <w:rPr>
          <w:rFonts w:ascii="Times New Roman" w:hAnsi="Times New Roman"/>
          <w:color w:val="000000"/>
          <w:sz w:val="22"/>
          <w:u w:val="single"/>
        </w:rPr>
        <w:t>Protection of Confidential Information Agreement</w:t>
      </w:r>
      <w:r>
        <w:rPr>
          <w:rFonts w:ascii="Times New Roman" w:hAnsi="Times New Roman"/>
          <w:color w:val="000000"/>
          <w:sz w:val="20"/>
        </w:rPr>
        <w:t xml:space="preserve"> </w:t>
      </w:r>
      <w:bookmarkStart w:id="27" w:name="name__zachary_hallowell"/>
      <w:bookmarkEnd w:id="27"/>
    </w:p>
    <w:p>
      <w:pPr>
        <w:pStyle w:val="TextBody"/>
        <w:bidi w:val="0"/>
        <w:jc w:val="center"/>
        <w:rPr>
          <w:rFonts w:ascii="Times New Roman" w:hAnsi="Times New Roman"/>
          <w:color w:val="000000"/>
          <w:sz w:val="22"/>
        </w:rPr>
      </w:pPr>
      <w:r>
        <w:rPr>
          <w:rFonts w:ascii="Times New Roman" w:hAnsi="Times New Roman"/>
          <w:color w:val="000000"/>
          <w:sz w:val="22"/>
        </w:rPr>
        <w:t>Name: Zachary Hallowell</w:t>
      </w:r>
    </w:p>
    <w:p>
      <w:pPr>
        <w:pStyle w:val="TextBody"/>
        <w:bidi w:val="0"/>
        <w:spacing w:before="360" w:after="283"/>
        <w:jc w:val="both"/>
        <w:rPr>
          <w:rFonts w:ascii="Times New Roman" w:hAnsi="Times New Roman"/>
          <w:sz w:val="20"/>
        </w:rPr>
      </w:pPr>
      <w:r>
        <w:rPr>
          <w:rFonts w:ascii="Times New Roman" w:hAnsi="Times New Roman"/>
          <w:color w:val="000000"/>
          <w:sz w:val="22"/>
        </w:rPr>
        <w:t>THIS Protection of Confidential Information Agreement, dated as of this 16th day of October 2023 (this "</w:t>
      </w:r>
      <w:r>
        <w:rPr>
          <w:rFonts w:ascii="Times New Roman" w:hAnsi="Times New Roman"/>
          <w:color w:val="000000"/>
          <w:sz w:val="22"/>
          <w:u w:val="single"/>
        </w:rPr>
        <w:t>Agreement</w:t>
      </w:r>
      <w:r>
        <w:rPr>
          <w:rFonts w:ascii="Times New Roman" w:hAnsi="Times New Roman"/>
          <w:color w:val="000000"/>
          <w:sz w:val="22"/>
        </w:rPr>
        <w:t>"), is between CarGurus, Inc., a Delaware corporation (the "</w:t>
      </w:r>
      <w:r>
        <w:rPr>
          <w:rFonts w:ascii="Times New Roman" w:hAnsi="Times New Roman"/>
          <w:color w:val="000000"/>
          <w:sz w:val="22"/>
          <w:u w:val="single"/>
        </w:rPr>
        <w:t>Company</w:t>
      </w:r>
      <w:r>
        <w:rPr>
          <w:rFonts w:ascii="Times New Roman" w:hAnsi="Times New Roman"/>
          <w:color w:val="000000"/>
          <w:sz w:val="22"/>
        </w:rPr>
        <w:t>"), and Zachary Hallowell (the "</w:t>
      </w:r>
      <w:r>
        <w:rPr>
          <w:rFonts w:ascii="Times New Roman" w:hAnsi="Times New Roman"/>
          <w:color w:val="000000"/>
          <w:sz w:val="22"/>
          <w:u w:val="single"/>
        </w:rPr>
        <w:t>Signatory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the Signatory is currently, or is about to become, an officer, employee, director, and/or consultant of the Company;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it is a condition precedent to the commencement or continuation of the Signatory's association with the Company, whether as an officer, employee, director and/or consultant, that the Signatory shall enter into this Agreement with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foregoing premises, the parties hereto hereby mutually agree as follows:</w:t>
      </w:r>
    </w:p>
    <w:p>
      <w:pPr>
        <w:pStyle w:val="TextBody"/>
        <w:bidi w:val="0"/>
        <w:spacing w:before="240" w:after="283"/>
        <w:jc w:val="left"/>
        <w:rPr>
          <w:rFonts w:ascii="Times New Roman" w:hAnsi="Times New Roman"/>
          <w:color w:val="000000"/>
          <w:sz w:val="21"/>
          <w:u w:val="single"/>
        </w:rPr>
      </w:pPr>
      <w:r>
        <w:rPr>
          <w:rFonts w:ascii="Times New Roman" w:hAnsi="Times New Roman"/>
          <w:color w:val="000000"/>
          <w:sz w:val="21"/>
          <w:u w:val="single"/>
        </w:rPr>
        <w:t>1.</w:t>
      </w:r>
    </w:p>
    <w:p>
      <w:pPr>
        <w:pStyle w:val="TextBody"/>
        <w:bidi w:val="0"/>
        <w:spacing w:before="240" w:after="283"/>
        <w:jc w:val="left"/>
        <w:rPr/>
      </w:pPr>
      <w:r>
        <w:rPr>
          <w:rFonts w:ascii="Times New Roman" w:hAnsi="Times New Roman"/>
          <w:color w:val="000000"/>
          <w:sz w:val="22"/>
          <w:u w:val="single"/>
        </w:rPr>
        <w:t>Confidential Information</w:t>
      </w:r>
      <w:r>
        <w:rPr>
          <w:rFonts w:ascii="Times New Roman" w:hAnsi="Times New Roman"/>
          <w:color w:val="000000"/>
          <w:sz w:val="22"/>
        </w:rPr>
        <w:t>.</w:t>
      </w:r>
    </w:p>
    <w:p>
      <w:pPr>
        <w:pStyle w:val="TextBody"/>
        <w:bidi w:val="0"/>
        <w:spacing w:before="241" w:after="283"/>
        <w:jc w:val="both"/>
        <w:rPr>
          <w:rFonts w:ascii="Times New Roman" w:hAnsi="Times New Roman"/>
          <w:color w:val="000000"/>
          <w:sz w:val="21"/>
        </w:rPr>
      </w:pPr>
      <w:r>
        <w:rPr>
          <w:rFonts w:ascii="Times New Roman" w:hAnsi="Times New Roman"/>
          <w:color w:val="000000"/>
          <w:sz w:val="21"/>
        </w:rPr>
        <w:t>(a)</w:t>
      </w:r>
    </w:p>
    <w:p>
      <w:pPr>
        <w:pStyle w:val="TextBody"/>
        <w:bidi w:val="0"/>
        <w:spacing w:before="241" w:after="283"/>
        <w:jc w:val="both"/>
        <w:rPr/>
      </w:pPr>
      <w:r>
        <w:rPr>
          <w:rFonts w:ascii="Times New Roman" w:hAnsi="Times New Roman"/>
          <w:color w:val="000000"/>
          <w:sz w:val="22"/>
        </w:rPr>
        <w:t>For purposes of this Agreement, the term "</w:t>
      </w:r>
      <w:r>
        <w:rPr>
          <w:rFonts w:ascii="Times New Roman" w:hAnsi="Times New Roman"/>
          <w:color w:val="000000"/>
          <w:sz w:val="22"/>
          <w:u w:val="single"/>
        </w:rPr>
        <w:t>Confidential</w:t>
      </w:r>
      <w:r>
        <w:rPr>
          <w:color w:val="000000"/>
        </w:rPr>
        <w:t xml:space="preserve"> </w:t>
      </w:r>
      <w:r>
        <w:rPr>
          <w:rFonts w:ascii="Times New Roman" w:hAnsi="Times New Roman"/>
          <w:color w:val="000000"/>
          <w:sz w:val="22"/>
          <w:u w:val="single"/>
        </w:rPr>
        <w:t>Information</w:t>
      </w:r>
      <w:r>
        <w:rPr>
          <w:rFonts w:ascii="Times New Roman" w:hAnsi="Times New Roman"/>
          <w:color w:val="000000"/>
          <w:sz w:val="22"/>
        </w:rPr>
        <w:t>" shall mean (i) confidential information, knowledge or data of the Company, (ii) trade secrets of the Company and (iii) any other information of the Company disclosed to the Signatory or to which the Signatory is given access, whether such disclosure or access is made or given by the Company or any other person.</w:t>
      </w:r>
      <w:r>
        <w:rPr>
          <w:color w:val="000000"/>
        </w:rPr>
        <w:t xml:space="preserve"> </w:t>
      </w:r>
      <w:r>
        <w:rPr>
          <w:rFonts w:ascii="Times New Roman" w:hAnsi="Times New Roman"/>
          <w:color w:val="000000"/>
          <w:sz w:val="22"/>
        </w:rPr>
        <w:t>Without limiting the generality of the foregoing, the term Confidential Information shall include (A) all Inventions (as defined in Section 5(a) hereof) that are owned by the Company or that are required to be assigned to the Company by any person, including, without limitation, the Signatory or any other employee or consultant of the Company, or that are licensed to the Company by any person, (B) information regarding the Company's plans for research and development or for new products, (C) engineering or manufacturing information pertaining to the Company or any of its operations or products, (D) information regarding regulatory matters pertaining to the Company, (E) information regarding any acquisition, strategic alliance or joint venture effected by the Company or any proposed acquisition, strategic alliance or joint venture being considered by the Company, (F) information regarding the status or outcome of any negotiations engaged in by the Company, (G) information regarding the existence or terms of any contract entered into by the Company, (H) information regarding any aspect of the Company's intellectual property position, (I) information regarding prices or costs of the Company, (J) information regarding any aspect of the Company's business strategy, including, without limitation, the Company's marketing, selling and distribution strategies, (K) information regarding customers or suppliers of the Company, (L) information regarding the compensation and other terms of employment or engagement of the Company's employees and consultants</w:t>
      </w:r>
      <w:r>
        <w:rPr>
          <w:rFonts w:ascii="Times New Roman" w:hAnsi="Times New Roman"/>
          <w:color w:val="0000FF"/>
          <w:sz w:val="22"/>
        </w:rPr>
        <w:t xml:space="preserve">, </w:t>
      </w:r>
      <w:r>
        <w:rPr>
          <w:rFonts w:ascii="Times New Roman" w:hAnsi="Times New Roman"/>
          <w:color w:val="000000"/>
          <w:sz w:val="22"/>
        </w:rPr>
        <w:t>other than of the Signatory, (M) business plans, budgets, unpublished financial statements and unpublished financial data of the Company, (N) information regarding marketing and sales of any actual or proposed product or services of the Company, (O) information regarding website visitor behavior, including referral information, and any other information derived from analyzing website log files and (P) any other information that the Company may designate as confidential.</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Signatory acknowledges that, except to the extent otherwise provided in this Section 1(b) or in Section 1(d), all Confidential Information disclosed to or acquired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the Signatory is a valuable, special, and unique asset of the Company and is to be held in trust by the Signatory for the Company's sole benefit. The Company acknowledges that its intent is to protect itself with respect to Confidential Information that is relevant and material to its business. It is rebuttably presumed that all Confidential Information is relevant and material to the Company’s business. The burden of proving any Confidential Information is not relevant and material shall be on the Signatory. Except as otherwise provided in this Section 1(b) or in Section 1(d), the Signatory shall not, at any time (including, without limitation, after the termination of the Signatory's association with the Company as an employee, consultant, officer and/or director), use for himself, herself or others, or disclose or communicate to any person for any reason, any Confidential Information without the prior written consent of the Company. Notwithstanding anything in this Section 1(b) to the contrary, it is understood that, except to the extent otherwise expressly prohibited by the Company, (A) the Signatory may disclose or use Confidential Information in performing his, her or its duties and responsibilities to the Company but only to the extent required or necessary for the performance of such duties and responsibilities in the ordinary course and within the scope of his, her or its association with the Company as an employee, consultant, officer and/or director, and (B) the Signatory may disclose any Confidential Information pursuant to a request or order of any court or governmental agency,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Signatory promptly notifies the Company of any such request or order and provides reasonable cooperation (at the Company's expense) in the efforts, if any, of the Company to contest or limit the scope of such request or order.</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(c)</w:t>
      </w:r>
    </w:p>
    <w:p>
      <w:pPr>
        <w:pStyle w:val="TextBody"/>
        <w:bidi w:val="0"/>
        <w:spacing w:before="240" w:after="283"/>
        <w:jc w:val="both"/>
        <w:rPr/>
      </w:pPr>
      <w:r>
        <w:rPr>
          <w:rFonts w:ascii="Times New Roman" w:hAnsi="Times New Roman"/>
          <w:color w:val="000000"/>
          <w:sz w:val="22"/>
        </w:rPr>
        <w:t>The Signatory acknowledges and agrees that the Company has received, and may receive in the future, confidential or proprietary information from third parties ("</w:t>
      </w:r>
      <w:r>
        <w:rPr>
          <w:rFonts w:ascii="Times New Roman" w:hAnsi="Times New Roman"/>
          <w:color w:val="000000"/>
          <w:sz w:val="22"/>
          <w:u w:val="single"/>
        </w:rPr>
        <w:t>Third</w:t>
      </w:r>
      <w:r>
        <w:rPr>
          <w:color w:val="000000"/>
        </w:rPr>
        <w:t xml:space="preserve"> </w:t>
      </w:r>
      <w:r>
        <w:rPr>
          <w:rFonts w:ascii="Times New Roman" w:hAnsi="Times New Roman"/>
          <w:color w:val="000000"/>
          <w:sz w:val="22"/>
          <w:u w:val="single"/>
        </w:rPr>
        <w:t>Party</w:t>
      </w:r>
      <w:r>
        <w:rPr>
          <w:color w:val="000000"/>
        </w:rPr>
        <w:t xml:space="preserve"> </w:t>
      </w:r>
      <w:r>
        <w:rPr>
          <w:rFonts w:ascii="Times New Roman" w:hAnsi="Times New Roman"/>
          <w:color w:val="000000"/>
          <w:sz w:val="22"/>
          <w:u w:val="single"/>
        </w:rPr>
        <w:t>Confidential</w:t>
      </w:r>
      <w:r>
        <w:rPr>
          <w:color w:val="000000"/>
        </w:rPr>
        <w:t xml:space="preserve"> </w:t>
      </w:r>
      <w:r>
        <w:rPr>
          <w:rFonts w:ascii="Times New Roman" w:hAnsi="Times New Roman"/>
          <w:color w:val="000000"/>
          <w:sz w:val="22"/>
          <w:u w:val="single"/>
        </w:rPr>
        <w:t>Information</w:t>
      </w:r>
      <w:r>
        <w:rPr>
          <w:rFonts w:ascii="Times New Roman" w:hAnsi="Times New Roman"/>
          <w:color w:val="000000"/>
          <w:sz w:val="22"/>
        </w:rPr>
        <w:t>") subject to a duty on the Company's part to maintain the confidentiality of such Third Party Confidential Information and to use it only for certain limited purposes. During the term of the Signatory's association with the Company as an employee, consultant, officer and/or director (the "</w:t>
      </w:r>
      <w:r>
        <w:rPr>
          <w:rFonts w:ascii="Times New Roman" w:hAnsi="Times New Roman"/>
          <w:color w:val="000000"/>
          <w:sz w:val="22"/>
          <w:u w:val="single"/>
        </w:rPr>
        <w:t>Term</w:t>
      </w:r>
      <w:r>
        <w:rPr>
          <w:rFonts w:ascii="Times New Roman" w:hAnsi="Times New Roman"/>
          <w:color w:val="000000"/>
          <w:sz w:val="22"/>
        </w:rPr>
        <w:t xml:space="preserve">") and at all times thereafter, the Signatory shall hold Third Party Confidential Information in the strictest confidence and will not use or disclose to anyone any Third Party Confidential Information, unless expressly authorized in writing by the Company or unless otherwise provided in this Section 1(c) or in Section 1(d). Notwithstanding anything in this Section 1(c) to the contrary, it is understood that, except to the extent otherwise expressly prohibited by the Company, (A) the Signatory may disclose or use Third Party Confidential Information in performing his, her or its duties and responsibilities to the Company but only to the extent required or necessary for the performance of such duties and responsibilities in the ordinary course and within the scope of his, her or its association with the Company as an employee, consultant, officer and/or director, and (B) the Signatory may disclose any Third Party Confidential Information pursuant to a request or order of any court or governmental agency,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the Signatory promptly notifies the Company of any such request or order and provides reasonable cooperation (at the Company's expense or the expense of such third party) in the efforts, if any, of the Company or such third party to contest or limit the scope of such request or order.</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Signatory's obligations under Section 1(b) and/or Section 1(c) not to use, disclose or communicate Confidential Information or Third Party Confidential Information to any person without the prior written consent of the Company shall not apply to any Confidential Information or Third Party Confidential Information that (i) is or becomes publicly known (as demonstrated by written evidence provided by the Signatory) under circumstances involving no breach by the Signatory of this Agreement and/or (ii) was approved for release by the Board of Directors of the Company or an authorized representative of the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obligations of the Signatory under this Section 1 are without prejudice, and are in addition, to any other obligations or duties of confidentiality, whether express or implied or imposed by applicable law, that are owed to the Company or any other person to whom the Company owes an obligation of confidentiality, provided the obligation to such other person is known to the signatory.</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Signatory understands that nothing contained in this Agreement limits the Signatory’s ability to communicate with any federal, state or local governmental agency or commission, including to provide documents or other information, without notice to the Company. The Signatory understands that pursuant to the federal Defend Trade Secrets Act of 2016, the Signatory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the Signatory files a lawsuit for retaliation by the Company for reporting a suspected violation of law, the Signatory may disclose the trade secret to the Signatory’s attorney and use the trade secret information in the court proceeding, if the Signatory (A) files any document containing the trade secret under seal; and (B) does not disclose the trade secret, except pursuant to court order.</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2.</w:t>
      </w:r>
    </w:p>
    <w:p>
      <w:pPr>
        <w:pStyle w:val="TextBody"/>
        <w:bidi w:val="0"/>
        <w:spacing w:before="240" w:after="283"/>
        <w:jc w:val="both"/>
        <w:rPr/>
      </w:pPr>
      <w:r>
        <w:rPr>
          <w:rFonts w:ascii="Times New Roman" w:hAnsi="Times New Roman"/>
          <w:color w:val="000000"/>
          <w:sz w:val="22"/>
          <w:u w:val="single"/>
        </w:rPr>
        <w:t>Publication</w:t>
      </w:r>
      <w:r>
        <w:rPr>
          <w:rFonts w:ascii="Times New Roman" w:hAnsi="Times New Roman"/>
          <w:color w:val="000000"/>
          <w:sz w:val="22"/>
        </w:rPr>
        <w:t>. The Signatory hereby understands that the Company has a compelling business interest in preventing the publication (orally or in writing) of any manuscript, document or information containing Confidential Information, Third Party Confidential Information and/or a description of any unpatented Assigned Invention (as defined in Section 5(a) hereof) and, accordingly, the Signatory hereby agrees to submit to the Company, at least ninety (90) days prior to publication, any manuscript, document or information that the Signatory intends to publish (orally or in writing) and that contains technical or scientific information or information about the Company or its business, in each case for purposes of ascertaining whether such manuscript, document or information contains Confidential Information, Third Party Confidential Information and/or any description of any Assigned Invention (whether or not patented). Notwithstanding the foregoing the signatory shall not submit, and shall not be required to submit, any portion of any such manuscript, document, or information if and to the extent that such portion contains any confidential information of third parties that the signatory does not have a legal right to disclose to the Company. In the event that the Company determines that any such manuscript, document or information contains Confidential Information, Third Party Confidential Information and/or any description of any Assigned Invention (whether or not patented), then, to the extent requested by the Company, the Signatory shall delete from any such manuscript, document or information any and all references to such Confidential Information, Third Party Confidential Information and/or description of such Assigned Invention, and all references thereto. The Signatory shall, no later than thirty (30) days prior to such publication, resubmit to the Company a revised draft of any such manuscript, document or information reflecting the deletion such Confidential Information, Third Party Confidential Information and/or description of such Assigned Invention, and all references thereto. Unless and until the Company shall have given its written consent to any proposed publication (orally or in writing) by the Signatory of any manuscript, document or information, the Signatory shall not publish (orally or in writing) all or any portion of such manuscript, document or information. Nothing contained in this Section 2 shall be construed or deemed to limit, change, amend, alter, repeal or invalidate any of the Signatory's obligations under Section 1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3.</w:t>
      </w:r>
    </w:p>
    <w:p>
      <w:pPr>
        <w:pStyle w:val="TextBody"/>
        <w:bidi w:val="0"/>
        <w:spacing w:before="240" w:after="283"/>
        <w:jc w:val="both"/>
        <w:rPr/>
      </w:pPr>
      <w:r>
        <w:rPr>
          <w:rFonts w:ascii="Times New Roman" w:hAnsi="Times New Roman"/>
          <w:color w:val="000000"/>
          <w:sz w:val="22"/>
          <w:u w:val="single"/>
        </w:rPr>
        <w:t>No Improper Disclosure or Use of Materials</w:t>
      </w:r>
      <w:r>
        <w:rPr>
          <w:rFonts w:ascii="Times New Roman" w:hAnsi="Times New Roman"/>
          <w:color w:val="000000"/>
          <w:sz w:val="22"/>
        </w:rPr>
        <w:t>. The Signatory shall not improperly use or disclose to or for the Company's benefit any confidential information or trade secrets of (i) any former, present or future employer of the Signatory, (ii) any person to whom the Signatory has previously provided, currently provides or may in the future provide consulting or other services or (iii) any other person to whom the Signatory owes an obligation of confidentiality. The Signatory shall not bring onto the premises of the Company any unpublished documents or any property belonging to any person referred to in any of the foregoing clauses (i), (ii) or (iii) unless consented to, in writing, by such person and by the Company.</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4.</w:t>
      </w:r>
    </w:p>
    <w:p>
      <w:pPr>
        <w:pStyle w:val="TextBody"/>
        <w:bidi w:val="0"/>
        <w:spacing w:before="240" w:after="283"/>
        <w:jc w:val="both"/>
        <w:rPr/>
      </w:pPr>
      <w:r>
        <w:rPr>
          <w:rFonts w:ascii="Times New Roman" w:hAnsi="Times New Roman"/>
          <w:color w:val="000000"/>
          <w:sz w:val="22"/>
          <w:u w:val="single"/>
        </w:rPr>
        <w:t>Right to Inspect</w:t>
      </w:r>
      <w:r>
        <w:rPr>
          <w:rFonts w:ascii="Times New Roman" w:hAnsi="Times New Roman"/>
          <w:color w:val="000000"/>
          <w:sz w:val="22"/>
        </w:rPr>
        <w:t>. The Signatory agrees that any of the Signatory's property situated on the Company's premises, including devices and other storage media, filing cabinets or other work areas, is subject to inspection by Company personnel at any time with or without notice.</w:t>
      </w:r>
    </w:p>
    <w:p>
      <w:pPr>
        <w:pStyle w:val="TextBody"/>
        <w:bidi w:val="0"/>
        <w:spacing w:before="240" w:after="283"/>
        <w:jc w:val="left"/>
        <w:rPr>
          <w:rFonts w:ascii="Times New Roman" w:hAnsi="Times New Roman"/>
          <w:color w:val="000000"/>
          <w:sz w:val="21"/>
          <w:u w:val="single"/>
        </w:rPr>
      </w:pPr>
      <w:r>
        <w:rPr>
          <w:rFonts w:ascii="Times New Roman" w:hAnsi="Times New Roman"/>
          <w:color w:val="000000"/>
          <w:sz w:val="21"/>
          <w:u w:val="single"/>
        </w:rPr>
        <w:t>5.</w:t>
      </w:r>
    </w:p>
    <w:p>
      <w:pPr>
        <w:pStyle w:val="TextBody"/>
        <w:bidi w:val="0"/>
        <w:spacing w:before="240" w:after="283"/>
        <w:jc w:val="left"/>
        <w:rPr/>
      </w:pPr>
      <w:r>
        <w:rPr>
          <w:rFonts w:ascii="Times New Roman" w:hAnsi="Times New Roman"/>
          <w:color w:val="000000"/>
          <w:sz w:val="22"/>
          <w:u w:val="single"/>
        </w:rPr>
        <w:t>Inventions; Assignment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1"/>
        </w:rPr>
      </w:pPr>
      <w:r>
        <w:rPr>
          <w:rFonts w:ascii="Times New Roman" w:hAnsi="Times New Roman"/>
          <w:color w:val="000000"/>
          <w:sz w:val="21"/>
        </w:rPr>
        <w:t>(a)</w:t>
      </w:r>
    </w:p>
    <w:p>
      <w:pPr>
        <w:pStyle w:val="TextBody"/>
        <w:bidi w:val="0"/>
        <w:spacing w:before="241" w:after="283"/>
        <w:jc w:val="both"/>
        <w:rPr/>
      </w:pPr>
      <w:r>
        <w:rPr>
          <w:rFonts w:ascii="Times New Roman" w:hAnsi="Times New Roman"/>
          <w:color w:val="000000"/>
          <w:sz w:val="22"/>
        </w:rPr>
        <w:t>For purposes of this Agreement, the term “</w:t>
      </w:r>
      <w:r>
        <w:rPr>
          <w:rFonts w:ascii="Times New Roman" w:hAnsi="Times New Roman"/>
          <w:color w:val="000000"/>
          <w:sz w:val="22"/>
          <w:u w:val="single"/>
        </w:rPr>
        <w:t>Inventions</w:t>
      </w:r>
      <w:r>
        <w:rPr>
          <w:color w:val="000000"/>
        </w:rPr>
        <w:t xml:space="preserve">” </w:t>
      </w:r>
      <w:r>
        <w:rPr>
          <w:rFonts w:ascii="Times New Roman" w:hAnsi="Times New Roman"/>
          <w:color w:val="000000"/>
          <w:sz w:val="22"/>
        </w:rPr>
        <w:t>shall mean all inventions, improvements, developments, ideas, processes, prototypes, plans, drawings, designs, models, formulations, specifications, methods, techniques, shop-practices, discoveries, innovations, creations, technologies, formulas, algorithms, data, computer databases, reports, laboratory notebooks, papers, writings, photographs, source and object codes, software programs, other works of authorship, and know-how (including all records pertaining to any of the foregoing), whether or not reduced to writing and whether or not patented or patentable or registered or registrable under patent, copyright, trademark or similar statute. For purposes of this Agreement, the term "</w:t>
      </w:r>
      <w:r>
        <w:rPr>
          <w:rFonts w:ascii="Times New Roman" w:hAnsi="Times New Roman"/>
          <w:color w:val="000000"/>
          <w:sz w:val="22"/>
          <w:u w:val="single"/>
        </w:rPr>
        <w:t>Assigned</w:t>
      </w:r>
      <w:r>
        <w:rPr>
          <w:color w:val="000000"/>
        </w:rPr>
        <w:t xml:space="preserve"> </w:t>
      </w:r>
      <w:r>
        <w:rPr>
          <w:rFonts w:ascii="Times New Roman" w:hAnsi="Times New Roman"/>
          <w:color w:val="000000"/>
          <w:sz w:val="22"/>
          <w:u w:val="single"/>
        </w:rPr>
        <w:t>Inventions</w:t>
      </w:r>
      <w:r>
        <w:rPr>
          <w:rFonts w:ascii="Times New Roman" w:hAnsi="Times New Roman"/>
          <w:color w:val="000000"/>
          <w:sz w:val="22"/>
        </w:rPr>
        <w:t>" shall mean (i) any and all Inventions that relate to a Competitive Business (as defined below) that are made, conceived, invented, discovered, originated, authored, created, learned or reduced to practice by the Signatory, either alone or together with others, in the course of performing the Signatory's duties and responsibilities to the Company or in the course of otherwise rendering any services to the Company during the Term (regardless of whether or not such Inventions were made, conceived, invented, discovered, originated, authored, created, learned or reduced to practice by the Signatory at the Company's facilities or during regular business hours or utilizing resources of the Company) or (ii) any and all Inventions that relate to a Competitive Business that arise out of or are based upon any Confidential Information or Third Party Confidential Information. For purposes of this Agreement, the term "</w:t>
      </w:r>
      <w:r>
        <w:rPr>
          <w:rFonts w:ascii="Times New Roman" w:hAnsi="Times New Roman"/>
          <w:color w:val="000000"/>
          <w:sz w:val="22"/>
          <w:u w:val="single"/>
        </w:rPr>
        <w:t>Proprietary</w:t>
      </w:r>
      <w:r>
        <w:rPr>
          <w:color w:val="000000"/>
        </w:rPr>
        <w:t xml:space="preserve"> </w:t>
      </w:r>
      <w:r>
        <w:rPr>
          <w:rFonts w:ascii="Times New Roman" w:hAnsi="Times New Roman"/>
          <w:color w:val="000000"/>
          <w:sz w:val="22"/>
          <w:u w:val="single"/>
        </w:rPr>
        <w:t>Rights</w:t>
      </w:r>
      <w:r>
        <w:rPr>
          <w:rFonts w:ascii="Times New Roman" w:hAnsi="Times New Roman"/>
          <w:color w:val="000000"/>
          <w:sz w:val="22"/>
        </w:rPr>
        <w:t>" shall mean (x) any and all rights under or in connection with any patents, patent applications, copyrights, copyright applications, trademarks, trademark applications, service marks, service mark applications, trade names, trade name applications, mask works, trade secrets and/or other intellectual property rights with respect to Assigned Inventions and (y) the goodwill associated with any and all of the rights referred to in the foregoing clause (x).</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Signatory hereby agrees to hold any and all Assigned Inventions and Proprietary Rights in trust for the sole right and benefit of the Company, and the Signatory hereby assigns to the Company all of the Signatory's right, title and interest in and to any and all Assigned Inventions and Proprietary Rights. The Signatory agrees to give the Company prompt written notice of any Assigned Invention or Proprietary Right and agrees to execute such instruments of transfer, assignment, conveyance or confirmation and such other documents as the Company may request to evidence, confirm or perfect the assignment of all of the Signatory's right, title and interest in and to any Assigned Invention or Proprietary Right pursuant to the foregoing provisions of this Section 5(b). The Signatory hereby waives and quitclaims to the Company any and all claims of any nature whatsoever that the Signatory may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or hereafter have for infringement of any Proprietary Rights assigned hereunder to the Company.</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Signatory hereby acknowledges and agrees that those Assigned Inventions that are original works of authorship protectable by copyright are "works made for hire," as that term is defined in the United States Copyright Act.</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the request of the Company, the Signatory will assist the Company in every proper way (including, without limitation, by executing patent applications) to obtain and enforce in any country in the world Proprietary Rights relating to any or all Assigned Inventions. The Signatory's obligation under this Section 5(d) shall continue after the termination of the Signatory's association with the Company as an employee, consultant, officer or director. If and to the extent that, at any time after the termination of the Signatory's association with the Company as an employee, consultant, officer and/or director, the Company requests assistance from the Signatory with respect to obtaining and enforcing in any country in the world any Proprietary Rights relating to Assigned Inventions, the Company shall compensate the Signatory at a reasonable rate for the time actually spent by the Signatory on such assistance.</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By this Agreement, the Signatory hereby irrevocably constitutes and appoints the Company as his, her or its attorney-in-fact for the purpose of executing, in the Signatory's name and on his, her or its behalf, (i) such instruments or other documents as may be necessary to evidence, confirm or perfect any assignment pursuant to the provisions of this Section 5 or (ii) such applications, certificates, instruments or documents as may be necessary to obtain or enforce any Proprietary Rights in any country of the world. This power of attorney is coupled with an interest on the part of the Company and is irrevocable.</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Without the prior written consent of the Company, the Signatory shall not, at any time (including, without limitation, at any time after the termination of the Signatory's association with the Company as an employee, consultant, officer and/or director), file, cause to be filed or consent to the filing of any patent, trademark, service mark, trade name or copyright application with respect to, or claiming, any Assigned Inventions or Proprietary Rights.</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obligations of the Signatory under this Section 5 are without prejudice, and are in addition to, any other obligations or duties of the Signatory, whether express or implied or imposed by applicable law, to assign to the Company all Assigned Inventions and all Proprietary Rights.</w:t>
      </w:r>
    </w:p>
    <w:p>
      <w:pPr>
        <w:pStyle w:val="TextBody"/>
        <w:bidi w:val="0"/>
        <w:spacing w:before="241" w:after="283"/>
        <w:jc w:val="left"/>
        <w:rPr>
          <w:rFonts w:ascii="Times New Roman" w:hAnsi="Times New Roman"/>
          <w:color w:val="000000"/>
          <w:sz w:val="21"/>
          <w:u w:val="single"/>
        </w:rPr>
      </w:pPr>
      <w:r>
        <w:rPr>
          <w:rFonts w:ascii="Times New Roman" w:hAnsi="Times New Roman"/>
          <w:color w:val="000000"/>
          <w:sz w:val="21"/>
          <w:u w:val="single"/>
        </w:rPr>
        <w:t>6.</w:t>
      </w:r>
    </w:p>
    <w:p>
      <w:pPr>
        <w:pStyle w:val="TextBody"/>
        <w:bidi w:val="0"/>
        <w:spacing w:before="241" w:after="283"/>
        <w:jc w:val="left"/>
        <w:rPr/>
      </w:pPr>
      <w:r>
        <w:rPr>
          <w:rFonts w:ascii="Times New Roman" w:hAnsi="Times New Roman"/>
          <w:color w:val="000000"/>
          <w:sz w:val="22"/>
          <w:u w:val="single"/>
        </w:rPr>
        <w:t>Agreement Not to Compete</w:t>
      </w:r>
      <w:r>
        <w:rPr>
          <w:rFonts w:ascii="Times New Roman" w:hAnsi="Times New Roman"/>
          <w:color w:val="000000"/>
          <w:sz w:val="22"/>
        </w:rPr>
        <w:t>.</w:t>
      </w:r>
    </w:p>
    <w:p>
      <w:pPr>
        <w:pStyle w:val="TextBody"/>
        <w:bidi w:val="0"/>
        <w:spacing w:before="241" w:after="283"/>
        <w:jc w:val="both"/>
        <w:rPr>
          <w:rFonts w:ascii="Times New Roman" w:hAnsi="Times New Roman"/>
          <w:color w:val="000000"/>
          <w:sz w:val="21"/>
        </w:rPr>
      </w:pPr>
      <w:r>
        <w:rPr>
          <w:rFonts w:ascii="Times New Roman" w:hAnsi="Times New Roman"/>
          <w:color w:val="000000"/>
          <w:sz w:val="21"/>
        </w:rPr>
        <w:t>(a)</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If the Signatory is an employee of the Company, he or she hereby agrees that, during the period commencing on the date of this Agreement and ending on the effective date of the termination of the Signatory's employment with the Company, the Signatory shall not engage, during business hours, in any employment or business activity other than for the Company.</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In view of the unique nature of the business of the Company and the need of the Company to maintain its competitive advantage in the industry, and in order to protect the Company’s Proprietary Information, trade secrets, good will, and other legitimate business interests, the Signatory hereby agrees that, during the Restricted Period (as defined in Section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6(c) below), the Signatory shall not, directly or indirectly, within the United States of America or within any other country in the world, engage in, own an interest in (except as a holder of no more than five percent (5%) of the shares of any publicly traded corporation), be employed by, consult for, act as an advisor to, or otherwise in any way participate in or become associated with, any Competitive Business (as defined in Section 6(c) below) or any corporation, partnership, limited liability company, business, enterprise, venture or other person or entity that is engaged or participates in any Competitive Business (each, a "</w:t>
      </w:r>
      <w:r>
        <w:rPr>
          <w:rFonts w:ascii="Times New Roman" w:hAnsi="Times New Roman"/>
          <w:color w:val="000000"/>
          <w:sz w:val="22"/>
          <w:u w:val="single"/>
        </w:rPr>
        <w:t>Competitive Business Entity</w:t>
      </w:r>
      <w:r>
        <w:rPr>
          <w:rFonts w:ascii="Times New Roman" w:hAnsi="Times New Roman"/>
          <w:color w:val="000000"/>
          <w:sz w:val="22"/>
        </w:rPr>
        <w:t>"), unless in each case the Signatory shall have given notice to the Board of Directors of the Company of his, her or its intention to be employed by, consult for, act as an advisor to, or otherwise in any way participate in or become associated with, any Competitive Business or any Competitive Business Entity and the Board of Directors of the Company shall have approved the Signatory's relationship with or engagement in such Competitive Business or Competitive Business Entity.</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this Section 6, the following terms shall have the meanings provided therefor below:</w:t>
      </w:r>
    </w:p>
    <w:p>
      <w:pPr>
        <w:pStyle w:val="TextBody"/>
        <w:bidi w:val="0"/>
        <w:spacing w:before="240" w:after="283"/>
        <w:jc w:val="left"/>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Competitive</w:t>
      </w:r>
      <w:r>
        <w:rPr>
          <w:rFonts w:ascii="Times New Roman" w:hAnsi="Times New Roman"/>
          <w:color w:val="000000"/>
          <w:sz w:val="20"/>
        </w:rPr>
        <w:t xml:space="preserve"> </w:t>
      </w:r>
      <w:r>
        <w:rPr>
          <w:rFonts w:ascii="Times New Roman" w:hAnsi="Times New Roman"/>
          <w:color w:val="000000"/>
          <w:sz w:val="22"/>
          <w:u w:val="single"/>
        </w:rPr>
        <w:t>Business</w:t>
      </w:r>
      <w:r>
        <w:rPr>
          <w:rFonts w:ascii="Times New Roman" w:hAnsi="Times New Roman"/>
          <w:color w:val="000000"/>
          <w:sz w:val="22"/>
        </w:rPr>
        <w:t>" shall mean any business that offers a website that allows visitors to do any of the following: (1) research automobiles or automotive products or services, (2) obtain or provide reviews of automobiles, automobile dealers or automotive products or services, or (3) search for or purchase automobiles or automotive products or services.</w:t>
      </w:r>
    </w:p>
    <w:p>
      <w:pPr>
        <w:pStyle w:val="TextBody"/>
        <w:bidi w:val="0"/>
        <w:spacing w:before="241" w:after="283"/>
        <w:jc w:val="both"/>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Restricted Period</w:t>
      </w:r>
      <w:r>
        <w:rPr>
          <w:rFonts w:ascii="Times New Roman" w:hAnsi="Times New Roman"/>
          <w:color w:val="000000"/>
          <w:sz w:val="22"/>
        </w:rPr>
        <w:t>" shall mean the period commencing on the date of this Agreement and ending on the first anniversary of the effective date of the termination of the Signatory's association with the Company as an employee, consultant, officer or director</w:t>
      </w:r>
      <w:r>
        <w:rPr>
          <w:rFonts w:ascii="Times New Roman" w:hAnsi="Times New Roman"/>
          <w:i/>
          <w:color w:val="000000"/>
          <w:sz w:val="22"/>
        </w:rPr>
        <w:t xml:space="preserve">; provided, however, that </w:t>
      </w:r>
      <w:r>
        <w:rPr>
          <w:rFonts w:ascii="Times New Roman" w:hAnsi="Times New Roman"/>
          <w:color w:val="000000"/>
          <w:sz w:val="22"/>
        </w:rPr>
        <w:t>if the Signatory breaches his or her fiduciary duty to the Company and/or unlawfully takes, physically or electronically, property belonging to the Company, then the Restricted Period shall end on the second anniversary of such termination date.</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time periods provided for in this Section 6 shall be extended for a period of time equal to any period of time in which the Signatory shall be in violation of any provision of this Section 6 and any period of time required for litigation to enforce the provisions of this Section 6. If at any time the provisions of this Section 6 shall be determined to be invalid or unenforceable, by reason of being vague or unreasonable as to area, duration or scope of activity, this Section 6 shall be considered divisible and shall become and be automatically amended to apply only to such area, duration and scope of activity as shall be determined to be reasonable by the court or other body having jurisdiction over the matter; and the Signatory agrees that this Section 6, as so amended, shall be valid and binding as though any invalid or unenforceable provision had not been included herein.</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the foregoing, the Signatory may, after termination of his or her employment with the Company and during the Restricted Period, be employed by a public company with annual sales in excess of $500 million dollars, provided he or she does not work for any division that meets the definition of a Competitive Business, and does not otherwise engage or participate on behalf of such company in any activities in connection with or related to a Competitive Business. The Signatory acknowledges that should he or she be so employed by a Competitive Business Entity, the burden of proving he or she is not employed by any division that meets the definition of a Competitive Business, nor engaged or participating in Competitive Businesses, shall be on the Signatory.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1" w:after="283"/>
        <w:jc w:val="both"/>
        <w:rPr>
          <w:rFonts w:ascii="Times New Roman" w:hAnsi="Times New Roman"/>
          <w:color w:val="000000"/>
          <w:sz w:val="21"/>
        </w:rPr>
      </w:pPr>
      <w:r>
        <w:rPr>
          <w:rFonts w:ascii="Times New Roman" w:hAnsi="Times New Roman"/>
          <w:color w:val="000000"/>
          <w:sz w:val="21"/>
        </w:rPr>
        <w:t>(f)</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In consideration for the Signatory’s agreement to the non-competition covenant set forth in this Section 6, the Company shall provide him or her with an equity grant that will be awarded as described in the Company’s offer letter to the Signatory and in accordance with and subject to the terms and conditions of the Company’s equity plan and is subject to the approval by the Company’s Board of the Directors or its designee. If the Signatory is terminated by the Company for Cause (as defined below) or if the Signatory resigns, and at the time of such separation of employment none of the equity granted to him or her at the commencement of employment has vested (in whole or part), then unless the Company elects to waive the post-employment non-competition obligations, the Company shall pay to the Signatory the gross sum of Five Thousand Dollars ($5,000), such amount to be paid within thirty (30) days of his or her last date of employment, in consideration for the Signatory’s agreement in this Section 6. The Signatory acknowledges and agrees that the equity grant and/or payment reflected in this Section 6(f) is mutually agreed upon consideration for the non-competition covenant set forth in this Section 6, and is in lieu of any and all other consideration for the non- competition agreement including, without limitation, any right to “garden leave” payment under Massachusetts law.</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covenants set forth in Section 6(b) shall not apply in the event that the Signatory’s employment is terminated without “Cause,” which for purposes of this Section 6 is defined as (1) a reasonable basis for the Company’s dissatisfaction with the Signatory entertained in good faith, for reasons such as lack of capacity or diligence, failure to conform to usual standards of conduct, or other culpable or inappropriate behavior, (2) grounds for discharge of the Signatory reasonably related, in the Company’s judgment, to the needs of its business, (3) breach of any covenant or obligation set forth in this or any other agreement between the Signatory and the Company during the Signatory’s employment, and (4) layoff other than one that is unrelated to the Signatory’s performance or conduct. The Company’s determination as to whether Cause for termination exists shall be final and binding absent clear and convincing evidence that the Company acted arbitrarily and capriciously.</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post-employment non-competition obligations of Section 6(b) shall not apply if, at the time of the Signatory’s separation from employment, he or she (i) is classified as nonexempt under the federal Fair Labor Standards Act, (ii) is an undergraduate or graduate student in an internship, coop, or other short-term employment relationship with the Company, or (iii) is age 18 or under.</w:t>
      </w:r>
    </w:p>
    <w:p>
      <w:pPr>
        <w:pStyle w:val="TextBody"/>
        <w:bidi w:val="0"/>
        <w:spacing w:before="240" w:after="283"/>
        <w:jc w:val="left"/>
        <w:rPr>
          <w:rFonts w:ascii="Times New Roman" w:hAnsi="Times New Roman"/>
          <w:color w:val="000000"/>
          <w:sz w:val="21"/>
          <w:u w:val="single"/>
        </w:rPr>
      </w:pPr>
      <w:r>
        <w:rPr>
          <w:rFonts w:ascii="Times New Roman" w:hAnsi="Times New Roman"/>
          <w:color w:val="000000"/>
          <w:sz w:val="21"/>
          <w:u w:val="single"/>
        </w:rPr>
        <w:t>7.</w:t>
      </w:r>
    </w:p>
    <w:p>
      <w:pPr>
        <w:pStyle w:val="TextBody"/>
        <w:bidi w:val="0"/>
        <w:spacing w:before="240" w:after="283"/>
        <w:jc w:val="left"/>
        <w:rPr/>
      </w:pPr>
      <w:r>
        <w:rPr>
          <w:rFonts w:ascii="Times New Roman" w:hAnsi="Times New Roman"/>
          <w:color w:val="000000"/>
          <w:sz w:val="22"/>
          <w:u w:val="single"/>
        </w:rPr>
        <w:t>Agreement Not To Solicit</w:t>
      </w:r>
      <w:r>
        <w:rPr>
          <w:rFonts w:ascii="Times New Roman" w:hAnsi="Times New Roman"/>
          <w:color w:val="000000"/>
          <w:sz w:val="22"/>
        </w:rPr>
        <w:t>.</w:t>
      </w:r>
    </w:p>
    <w:p>
      <w:pPr>
        <w:pStyle w:val="TextBody"/>
        <w:bidi w:val="0"/>
        <w:spacing w:before="241" w:after="283"/>
        <w:jc w:val="both"/>
        <w:rPr>
          <w:rFonts w:ascii="Times New Roman" w:hAnsi="Times New Roman"/>
          <w:color w:val="000000"/>
          <w:sz w:val="21"/>
        </w:rPr>
      </w:pPr>
      <w:r>
        <w:rPr>
          <w:rFonts w:ascii="Times New Roman" w:hAnsi="Times New Roman"/>
          <w:color w:val="000000"/>
          <w:sz w:val="21"/>
        </w:rPr>
        <w:t>(a)</w:t>
      </w:r>
    </w:p>
    <w:p>
      <w:pPr>
        <w:pStyle w:val="TextBody"/>
        <w:bidi w:val="0"/>
        <w:spacing w:before="241" w:after="283"/>
        <w:jc w:val="both"/>
        <w:rPr/>
      </w:pPr>
      <w:r>
        <w:rPr>
          <w:rFonts w:ascii="Times New Roman" w:hAnsi="Times New Roman"/>
          <w:color w:val="000000"/>
          <w:sz w:val="22"/>
        </w:rPr>
        <w:t xml:space="preserve">During the Restricted Period, the Signatory shall not, directly or indirectly, for Signatory or for the benefit of any other person or entity, recruit, hire or solicit the employment or services of (whether as an employee, officer, director, agent, consultant or independent contractor) any existing or future employee, officer, director, agent, consultant or independent contractor of the Company or any of the Company's successors or affiliates (except for such employment or hiring by the Company or any of its successors or affiliates), including during the six months following the termination of the employment of such employees, or encourage or aid such employees, officers, directors, agents, consultants or independent contractors to terminate their employment with the Company or any of the Company's successors or affiliates;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 xml:space="preserve">however </w:t>
      </w:r>
      <w:r>
        <w:rPr>
          <w:rFonts w:ascii="Times New Roman" w:hAnsi="Times New Roman"/>
          <w:color w:val="000000"/>
          <w:sz w:val="22"/>
        </w:rPr>
        <w:t>that a general solicitation of the public for employment shall not constitute a solicitation hereunder so long as such general solicitation is not designed to target, or does not have the effect of targeting, any employee, officer, director, agent, consultant or independent contractor of the Company any of the Company's successors or affiliates.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1"/>
        </w:rPr>
      </w:pPr>
      <w:r>
        <w:rPr>
          <w:rFonts w:ascii="Times New Roman" w:hAnsi="Times New Roman"/>
          <w:color w:val="000000"/>
          <w:sz w:val="21"/>
        </w:rPr>
        <w:t>(b)</w:t>
      </w:r>
    </w:p>
    <w:p>
      <w:pPr>
        <w:pStyle w:val="TextBody"/>
        <w:bidi w:val="0"/>
        <w:spacing w:before="240" w:after="283"/>
        <w:jc w:val="both"/>
        <w:rPr/>
      </w:pPr>
      <w:r>
        <w:rPr>
          <w:rFonts w:ascii="Times New Roman" w:hAnsi="Times New Roman"/>
          <w:color w:val="000000"/>
          <w:sz w:val="22"/>
        </w:rPr>
        <w:t xml:space="preserve">During the Restricted Period, the Signatory shall not, directly or indirectly, for Signatory or for the benefit of any other person or entity, solicit, attempt to do business involving or related to a Competitive Business with, do business involving or related to a Competitive Business with any customers, business partners or business affiliates of the Company, or any of the Company's current or future successors or those affiliates of the Company that are engaged in a Competitive Business (collectively, the </w:t>
      </w:r>
      <w:r>
        <w:rPr>
          <w:rFonts w:ascii="Times New Roman" w:hAnsi="Times New Roman"/>
          <w:b/>
          <w:i/>
          <w:color w:val="000000"/>
          <w:sz w:val="22"/>
        </w:rPr>
        <w:t>"Company Parties"</w:t>
      </w:r>
      <w:r>
        <w:rPr>
          <w:rFonts w:ascii="Times New Roman" w:hAnsi="Times New Roman"/>
          <w:color w:val="000000"/>
          <w:sz w:val="22"/>
        </w:rPr>
        <w:t xml:space="preserve">), or solicit or encourage (regardless of who initiates the contact) any such customers to use the services involving or related to a Competitive Business of any competitor of any of the Company Parties; </w:t>
      </w:r>
      <w:r>
        <w:rPr>
          <w:rFonts w:ascii="Times New Roman" w:hAnsi="Times New Roman"/>
          <w:i/>
          <w:color w:val="000000"/>
          <w:sz w:val="22"/>
        </w:rPr>
        <w:t xml:space="preserve">provided, however, </w:t>
      </w:r>
      <w:r>
        <w:rPr>
          <w:rFonts w:ascii="Times New Roman" w:hAnsi="Times New Roman"/>
          <w:color w:val="000000"/>
          <w:sz w:val="22"/>
        </w:rPr>
        <w:t>that, subject to the other provisions of this Agreement, the Signatory shall not be prohibited from doing business with any customers, business partners, or business affiliates of the Company Parties if: (i) such business activity by Signatory does not result, directly or indirectly, in the lessening or cessation of the level of business activity between such customers, business partners or business affiliates on the one hand, and any of the Company Parties, on the other hand, and (ii) such business activity by Signatory is not in connection with a Competitive Business.</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8.</w:t>
      </w:r>
    </w:p>
    <w:p>
      <w:pPr>
        <w:pStyle w:val="TextBody"/>
        <w:bidi w:val="0"/>
        <w:spacing w:before="240" w:after="283"/>
        <w:jc w:val="both"/>
        <w:rPr/>
      </w:pPr>
      <w:r>
        <w:rPr>
          <w:rFonts w:ascii="Times New Roman" w:hAnsi="Times New Roman"/>
          <w:color w:val="000000"/>
          <w:sz w:val="22"/>
          <w:u w:val="single"/>
        </w:rPr>
        <w:t>Return of Documents</w:t>
      </w:r>
      <w:r>
        <w:rPr>
          <w:rFonts w:ascii="Times New Roman" w:hAnsi="Times New Roman"/>
          <w:color w:val="000000"/>
          <w:sz w:val="22"/>
        </w:rPr>
        <w:t>. The Signatory will promptly deliver to the Company, upon the termination of the Signatory's association with the Company as an employee, consultant, officer and/or director or, if earlier, upon the request of the Company, all documents and other tangible media (including all originals, copies, reproductions, digests, abstracts, summaries, analyses, notes, notebooks, drawings, manuals, memoranda, records, reports, plans, specifications, devices, formulas, storage media, including software, and computer printouts) in the Signatory's actual or constructive possession or control that contain, reflect, disclose or relate to any Confidential Information, Third Party Confidential Information, Assigned Inventions or Proprietary Rights. The Signatory will destroy any related computer entries on equipment or media not owned by the Company.</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9.</w:t>
      </w:r>
    </w:p>
    <w:p>
      <w:pPr>
        <w:pStyle w:val="TextBody"/>
        <w:bidi w:val="0"/>
        <w:spacing w:before="240" w:after="283"/>
        <w:jc w:val="both"/>
        <w:rPr/>
      </w:pPr>
      <w:r>
        <w:rPr>
          <w:rFonts w:ascii="Times New Roman" w:hAnsi="Times New Roman"/>
          <w:color w:val="000000"/>
          <w:sz w:val="22"/>
          <w:u w:val="single"/>
        </w:rPr>
        <w:t>No Use of Name, Etc</w:t>
      </w:r>
      <w:r>
        <w:rPr>
          <w:rFonts w:ascii="Times New Roman" w:hAnsi="Times New Roman"/>
          <w:color w:val="000000"/>
          <w:sz w:val="22"/>
        </w:rPr>
        <w:t>. Without the prior written consent of the Company, the Signatory shall not, at any time (including, without limitation, at any time after the termination of the Signatory's association with the Company as an employee, consultant, officer and/or director), use, for himself or herself or on behalf of any other person, any name that is identical or similar to or likely to be confused with the name of the Company or the name of any product or service produced or provided by the Company. Without the prior written consent of the Company, the Signatory shall not, at any time after the termination of the Signatory's association with the Company as an employee, consultant, officer and/or director, directly or indirectly represent himself or herself, whether on his, her or its behalf or on behalf of any other person, as then being in any way connected or associated with the Company.</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10.</w:t>
      </w:r>
    </w:p>
    <w:p>
      <w:pPr>
        <w:pStyle w:val="TextBody"/>
        <w:bidi w:val="0"/>
        <w:spacing w:before="240" w:after="283"/>
        <w:jc w:val="both"/>
        <w:rPr/>
      </w:pPr>
      <w:r>
        <w:rPr>
          <w:rFonts w:ascii="Times New Roman" w:hAnsi="Times New Roman"/>
          <w:color w:val="000000"/>
          <w:sz w:val="22"/>
          <w:u w:val="single"/>
        </w:rPr>
        <w:t>Disclosure of Prior Obligations</w:t>
      </w:r>
      <w:r>
        <w:rPr>
          <w:rFonts w:ascii="Times New Roman" w:hAnsi="Times New Roman"/>
          <w:color w:val="000000"/>
          <w:sz w:val="22"/>
        </w:rPr>
        <w:t>. The Signatory represents that the Signatory has disclosed and provided copies of any and all agreements that could limit his or her ability to perform fully all of the terms of this Agreement and of all of the Signatory's duties and responsibilities as an employee, consultant, officer and/or director of the Company, including, without limitation, any confidentiality, inventions, non-competition and/or non-solicitation agreement. The Signatory further represents that he or she has not made and will not make any agreements in conflict with this Agreement. The Signatory represents that the Signatory will not disclose to the Company or induce the Company to use any confidential or proprietary information or material belonging to any previous employer or third party.</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11.</w:t>
      </w:r>
    </w:p>
    <w:p>
      <w:pPr>
        <w:pStyle w:val="TextBody"/>
        <w:bidi w:val="0"/>
        <w:spacing w:before="240" w:after="283"/>
        <w:jc w:val="both"/>
        <w:rPr/>
      </w:pPr>
      <w:r>
        <w:rPr>
          <w:rFonts w:ascii="Times New Roman" w:hAnsi="Times New Roman"/>
          <w:color w:val="000000"/>
          <w:sz w:val="22"/>
          <w:u w:val="single"/>
        </w:rPr>
        <w:t>Unique Nature of Agreement; Specific Enforcement</w:t>
      </w:r>
      <w:r>
        <w:rPr>
          <w:rFonts w:ascii="Times New Roman" w:hAnsi="Times New Roman"/>
          <w:color w:val="000000"/>
          <w:sz w:val="22"/>
        </w:rPr>
        <w:t xml:space="preserve">. The Company and the Signatory agree and acknowledge that the rights and obligations set forth in this Agreement are of a unique and special nature and that the Company is, therefore, without an adequate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legal remedy in the event of the Signatory's violation of any of the covenants set forth in this Agreement. The Company and the Signatory agree, therefore, that, in addition to all other rights and remedies, at law or in equity or otherwise, that may be available to the Company, each of the covenants made by the Signatory under this Agreement (including, without limitation, the covenants made by the Signatory pursuant to Section 6 hereof) shall be enforceable by injunction, specific performance or other equitable relief, without any requirement that the Company have to post a bond or that the Company have to prove any damages. The Signatory hereby agrees, in connection with any action or proceeding to enforce any provisions of this Agreement, to waive any claim or defense that the Company has an adequate remedy at law.</w:t>
      </w:r>
    </w:p>
    <w:p>
      <w:pPr>
        <w:pStyle w:val="TextBody"/>
        <w:bidi w:val="0"/>
        <w:spacing w:before="241" w:after="283"/>
        <w:jc w:val="both"/>
        <w:rPr>
          <w:rFonts w:ascii="Times New Roman" w:hAnsi="Times New Roman"/>
          <w:color w:val="000000"/>
          <w:sz w:val="21"/>
          <w:u w:val="single"/>
        </w:rPr>
      </w:pPr>
      <w:r>
        <w:rPr>
          <w:rFonts w:ascii="Times New Roman" w:hAnsi="Times New Roman"/>
          <w:color w:val="000000"/>
          <w:sz w:val="21"/>
          <w:u w:val="single"/>
        </w:rPr>
        <w:t>12.</w:t>
      </w:r>
    </w:p>
    <w:p>
      <w:pPr>
        <w:pStyle w:val="TextBody"/>
        <w:bidi w:val="0"/>
        <w:spacing w:before="241" w:after="283"/>
        <w:jc w:val="both"/>
        <w:rPr/>
      </w:pPr>
      <w:r>
        <w:rPr>
          <w:rFonts w:ascii="Times New Roman" w:hAnsi="Times New Roman"/>
          <w:color w:val="000000"/>
          <w:sz w:val="22"/>
          <w:u w:val="single"/>
        </w:rPr>
        <w:t>Signatory Acknowledgement</w:t>
      </w:r>
      <w:r>
        <w:rPr>
          <w:rFonts w:ascii="Times New Roman" w:hAnsi="Times New Roman"/>
          <w:color w:val="000000"/>
          <w:sz w:val="22"/>
        </w:rPr>
        <w:t>. The Signatory acknowledges and agrees that he/she has been given sufficient time of at least ten business days before commencement of employment in which to consider whether to sign this Agreement. The Signatory also acknowledges and understands that he/she has the right to consult with an attorney before signing this Agreement. Regardless of whether the Signatory has elected to consult an attorney, the Signatory acknowledges that he/she has read and understands this Agreement, that the Signatory is fully aware of its legal effect, and the Signatory has entered into this Agreement freely and voluntarily and not based upon any representations or promises other than those contained in this Agreement.</w:t>
      </w:r>
    </w:p>
    <w:p>
      <w:pPr>
        <w:pStyle w:val="TextBody"/>
        <w:bidi w:val="0"/>
        <w:spacing w:before="240" w:after="283"/>
        <w:jc w:val="left"/>
        <w:rPr>
          <w:rFonts w:ascii="Times New Roman" w:hAnsi="Times New Roman"/>
          <w:color w:val="000000"/>
          <w:sz w:val="21"/>
          <w:u w:val="single"/>
        </w:rPr>
      </w:pPr>
      <w:r>
        <w:rPr>
          <w:rFonts w:ascii="Times New Roman" w:hAnsi="Times New Roman"/>
          <w:color w:val="000000"/>
          <w:sz w:val="21"/>
          <w:u w:val="single"/>
        </w:rPr>
        <w:t>13.</w:t>
      </w:r>
    </w:p>
    <w:p>
      <w:pPr>
        <w:pStyle w:val="TextBody"/>
        <w:bidi w:val="0"/>
        <w:spacing w:before="240" w:after="283"/>
        <w:jc w:val="left"/>
        <w:rPr/>
      </w:pP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13.1.</w:t>
      </w:r>
    </w:p>
    <w:p>
      <w:pPr>
        <w:pStyle w:val="TextBody"/>
        <w:bidi w:val="0"/>
        <w:spacing w:before="240" w:after="283"/>
        <w:jc w:val="both"/>
        <w:rPr/>
      </w:pPr>
      <w:r>
        <w:rPr>
          <w:rFonts w:ascii="Times New Roman" w:hAnsi="Times New Roman"/>
          <w:color w:val="000000"/>
          <w:sz w:val="22"/>
          <w:u w:val="single"/>
        </w:rPr>
        <w:t>Association</w:t>
      </w:r>
      <w:r>
        <w:rPr>
          <w:rFonts w:ascii="Times New Roman" w:hAnsi="Times New Roman"/>
          <w:color w:val="000000"/>
          <w:sz w:val="22"/>
        </w:rPr>
        <w:t>. The Signatory agrees and understands that nothing in this Agreement shall confer on the Signatory any right with respect to continuation of the Signatory's association with the Company as an employee, consultant, officer and/or director, nor shall it interfere in any way with the Signatory's right or the Company's right to terminate the Signatory's association with the Company as an employee, consultant, officer and/or director at any time, with or without cause.</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13.2.</w:t>
      </w:r>
    </w:p>
    <w:p>
      <w:pPr>
        <w:pStyle w:val="TextBody"/>
        <w:bidi w:val="0"/>
        <w:spacing w:before="240" w:after="283"/>
        <w:jc w:val="both"/>
        <w:rPr/>
      </w:pPr>
      <w:r>
        <w:rPr>
          <w:rFonts w:ascii="Times New Roman" w:hAnsi="Times New Roman"/>
          <w:color w:val="000000"/>
          <w:sz w:val="22"/>
          <w:u w:val="single"/>
        </w:rPr>
        <w:t>Entire</w:t>
      </w:r>
      <w:r>
        <w:rPr>
          <w:color w:val="000000"/>
        </w:rPr>
        <w:t xml:space="preserve"> </w:t>
      </w:r>
      <w:r>
        <w:rPr>
          <w:rFonts w:ascii="Times New Roman" w:hAnsi="Times New Roman"/>
          <w:color w:val="000000"/>
          <w:sz w:val="22"/>
          <w:u w:val="single"/>
        </w:rPr>
        <w:t>Agreement</w:t>
      </w:r>
      <w:r>
        <w:rPr>
          <w:rFonts w:ascii="Times New Roman" w:hAnsi="Times New Roman"/>
          <w:color w:val="000000"/>
          <w:sz w:val="22"/>
        </w:rPr>
        <w:t>. This Agreement represents the entire agreement of the parties with respect to the arrangements contemplated hereby. No prior agreement, whether written or oral, shall be construed to change, amend, alter, repeal or invalidate this Agreement. This Agreement may be amended only by a written instrument executed in one or more counterparts by the parties.</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13.3.</w:t>
      </w:r>
    </w:p>
    <w:p>
      <w:pPr>
        <w:pStyle w:val="TextBody"/>
        <w:bidi w:val="0"/>
        <w:spacing w:before="240" w:after="283"/>
        <w:jc w:val="both"/>
        <w:rPr/>
      </w:pPr>
      <w:r>
        <w:rPr>
          <w:rFonts w:ascii="Times New Roman" w:hAnsi="Times New Roman"/>
          <w:color w:val="000000"/>
          <w:sz w:val="22"/>
          <w:u w:val="single"/>
        </w:rPr>
        <w:t>Waiver</w:t>
      </w:r>
      <w:r>
        <w:rPr>
          <w:rFonts w:ascii="Times New Roman" w:hAnsi="Times New Roman"/>
          <w:color w:val="000000"/>
          <w:sz w:val="22"/>
        </w:rPr>
        <w:t>. No consent to or waiver of any breach or default in the performance of any obligations hereunder shall be deemed or construed to be a consent to or waiver of any other breach or default in the performance of any of the same or any other obligations hereunder. Failure on the part of either party to complain of any act or failure to act of the other party or to declare the other party in default, irrespective of the duration of such failure, shall not constitute a waiver of rights hereunder and no waiver hereunder shall be effective unless it is in writing, executed by the party waiving the breach or default hereunder.</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13.4.</w:t>
      </w:r>
    </w:p>
    <w:p>
      <w:pPr>
        <w:pStyle w:val="TextBody"/>
        <w:bidi w:val="0"/>
        <w:spacing w:before="240" w:after="283"/>
        <w:jc w:val="both"/>
        <w:rPr/>
      </w:pPr>
      <w:r>
        <w:rPr>
          <w:rFonts w:ascii="Times New Roman" w:hAnsi="Times New Roman"/>
          <w:color w:val="000000"/>
          <w:sz w:val="22"/>
          <w:u w:val="single"/>
        </w:rPr>
        <w:t>Assignment</w:t>
      </w:r>
      <w:r>
        <w:rPr>
          <w:rFonts w:ascii="Times New Roman" w:hAnsi="Times New Roman"/>
          <w:color w:val="000000"/>
          <w:sz w:val="22"/>
        </w:rPr>
        <w:t>. This Agreement shall be binding upon and inure to the benefit of the parties hereto and their respective successors and permitted assigns. This Agreement may be assigned by the Company to any Affiliate of the Company and to a successor of its business to which this Agreement relates (whether by purchase or otherwise). "</w:t>
      </w:r>
      <w:r>
        <w:rPr>
          <w:rFonts w:ascii="Times New Roman" w:hAnsi="Times New Roman"/>
          <w:color w:val="000000"/>
          <w:sz w:val="22"/>
          <w:u w:val="single"/>
        </w:rPr>
        <w:t>Affiliate</w:t>
      </w:r>
      <w:r>
        <w:rPr>
          <w:color w:val="000000"/>
        </w:rPr>
        <w:t xml:space="preserve"> </w:t>
      </w:r>
      <w:r>
        <w:rPr>
          <w:rFonts w:ascii="Times New Roman" w:hAnsi="Times New Roman"/>
          <w:color w:val="000000"/>
          <w:sz w:val="22"/>
          <w:u w:val="single"/>
        </w:rPr>
        <w:t>of</w:t>
      </w:r>
      <w:r>
        <w:rPr>
          <w:color w:val="000000"/>
        </w:rPr>
        <w:t xml:space="preserve"> </w:t>
      </w:r>
      <w:r>
        <w:rPr>
          <w:rFonts w:ascii="Times New Roman" w:hAnsi="Times New Roman"/>
          <w:color w:val="000000"/>
          <w:sz w:val="22"/>
          <w:u w:val="single"/>
        </w:rPr>
        <w:t>the</w:t>
      </w:r>
      <w:r>
        <w:rPr>
          <w:color w:val="000000"/>
        </w:rPr>
        <w:t xml:space="preserve"> </w:t>
      </w:r>
      <w:r>
        <w:rPr>
          <w:rFonts w:ascii="Times New Roman" w:hAnsi="Times New Roman"/>
          <w:color w:val="000000"/>
          <w:sz w:val="22"/>
          <w:u w:val="single"/>
        </w:rPr>
        <w:t>Company</w:t>
      </w:r>
      <w:r>
        <w:rPr>
          <w:rFonts w:ascii="Times New Roman" w:hAnsi="Times New Roman"/>
          <w:color w:val="000000"/>
          <w:sz w:val="22"/>
        </w:rPr>
        <w:t xml:space="preserve">" means any person which, directly or indirectly, controls or is controlled by or is under common control with the Company and, for the purposes of this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definition, "control" (including the terms "controlled by" and "under common control with") shall mean the possession, directly or indirectly, of the power to direct or cause the direction of the management and policies of another whether through the ownership of voting securities or holding of office in another, by contract or otherwise. The Signatory may not assign or transfer any or all of his, her or its rights or obligations under this Agreement.</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13.5.</w:t>
      </w:r>
    </w:p>
    <w:p>
      <w:pPr>
        <w:pStyle w:val="TextBody"/>
        <w:bidi w:val="0"/>
        <w:spacing w:before="240" w:after="283"/>
        <w:jc w:val="both"/>
        <w:rPr/>
      </w:pPr>
      <w:r>
        <w:rPr>
          <w:rFonts w:ascii="Times New Roman" w:hAnsi="Times New Roman"/>
          <w:color w:val="000000"/>
          <w:sz w:val="22"/>
          <w:u w:val="single"/>
        </w:rPr>
        <w:t>Jurisdiction</w:t>
      </w:r>
      <w:r>
        <w:rPr>
          <w:color w:val="000000"/>
        </w:rPr>
        <w:t xml:space="preserve"> </w:t>
      </w:r>
      <w:r>
        <w:rPr>
          <w:rFonts w:ascii="Times New Roman" w:hAnsi="Times New Roman"/>
          <w:color w:val="000000"/>
          <w:sz w:val="22"/>
          <w:u w:val="single"/>
        </w:rPr>
        <w:t>and</w:t>
      </w:r>
      <w:r>
        <w:rPr>
          <w:color w:val="000000"/>
        </w:rPr>
        <w:t xml:space="preserve"> </w:t>
      </w:r>
      <w:r>
        <w:rPr>
          <w:rFonts w:ascii="Times New Roman" w:hAnsi="Times New Roman"/>
          <w:color w:val="000000"/>
          <w:sz w:val="22"/>
          <w:u w:val="single"/>
        </w:rPr>
        <w:t>Venue</w:t>
      </w:r>
      <w:r>
        <w:rPr>
          <w:rFonts w:ascii="Times New Roman" w:hAnsi="Times New Roman"/>
          <w:color w:val="000000"/>
          <w:sz w:val="22"/>
        </w:rPr>
        <w:t xml:space="preserve">; </w:t>
      </w:r>
      <w:r>
        <w:rPr>
          <w:rFonts w:ascii="Times New Roman" w:hAnsi="Times New Roman"/>
          <w:color w:val="000000"/>
          <w:sz w:val="22"/>
          <w:u w:val="single"/>
        </w:rPr>
        <w:t>Waiver</w:t>
      </w:r>
      <w:r>
        <w:rPr>
          <w:color w:val="000000"/>
        </w:rPr>
        <w:t xml:space="preserve"> </w:t>
      </w:r>
      <w:r>
        <w:rPr>
          <w:rFonts w:ascii="Times New Roman" w:hAnsi="Times New Roman"/>
          <w:color w:val="000000"/>
          <w:sz w:val="22"/>
          <w:u w:val="single"/>
        </w:rPr>
        <w:t>of</w:t>
      </w:r>
      <w:r>
        <w:rPr>
          <w:color w:val="000000"/>
        </w:rPr>
        <w:t xml:space="preserve"> </w:t>
      </w:r>
      <w:r>
        <w:rPr>
          <w:rFonts w:ascii="Times New Roman" w:hAnsi="Times New Roman"/>
          <w:color w:val="000000"/>
          <w:sz w:val="22"/>
          <w:u w:val="single"/>
        </w:rPr>
        <w:t>Jury</w:t>
      </w:r>
      <w:r>
        <w:rPr>
          <w:color w:val="000000"/>
        </w:rPr>
        <w:t xml:space="preserve"> </w:t>
      </w:r>
      <w:r>
        <w:rPr>
          <w:rFonts w:ascii="Times New Roman" w:hAnsi="Times New Roman"/>
          <w:color w:val="000000"/>
          <w:sz w:val="22"/>
          <w:u w:val="single"/>
        </w:rPr>
        <w:t>Trial</w:t>
      </w:r>
      <w:r>
        <w:rPr>
          <w:rFonts w:ascii="Times New Roman" w:hAnsi="Times New Roman"/>
          <w:color w:val="000000"/>
          <w:sz w:val="22"/>
        </w:rPr>
        <w:t>. In case of any dispute hereunder involving a Massachusetts-based Signatory in accordance with Section 13.7 below, the parties will submit to the exclusive jurisdiction and venue of any court of competent jurisdiction sitting in Suffolk County, Massachusetts, and the parties will comply with all requirements necessary to give such court jurisdiction over the parties and the controversy, and the parties further mutually agree that if any such dispute is brought in the Superior Court of the Commonwealth of Massachusetts, it shall be commenced solely in the Business Litigation Session located in Suffolk County, Massachusetts. With respect to any action, demand, claim or counterclaim relating to any dispute concerning a non-Massachusetts based Signatory in accordance with Section 13.7 below, the parties mutually agree that the same shall be resolved in a state or federal court located in Delaware or in the state where the Signatory resides or has a principal place of business, or at the Company’s election in Massachusetts, and the parties will comply with all requirements necessary to give such court jurisdiction over the parties and the controversy. EACH PARTY WAIVES ANY RIGHT TO A JURY TRIAL.</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13.6.</w:t>
      </w:r>
    </w:p>
    <w:p>
      <w:pPr>
        <w:pStyle w:val="TextBody"/>
        <w:bidi w:val="0"/>
        <w:spacing w:before="240" w:after="283"/>
        <w:jc w:val="both"/>
        <w:rPr/>
      </w:pPr>
      <w:r>
        <w:rPr>
          <w:rFonts w:ascii="Times New Roman" w:hAnsi="Times New Roman"/>
          <w:color w:val="000000"/>
          <w:sz w:val="22"/>
          <w:u w:val="single"/>
        </w:rPr>
        <w:t>Severability</w:t>
      </w:r>
      <w:r>
        <w:rPr>
          <w:rFonts w:ascii="Times New Roman" w:hAnsi="Times New Roman"/>
          <w:color w:val="000000"/>
          <w:sz w:val="22"/>
        </w:rPr>
        <w:t>. All headings and subdivisions of this Agreement are for reference only and shall not affect its interpretation. In the event that any provision of this Agreement should be held unenforceable by a court of competent jurisdiction, such court is hereby authorized to amend such provision so as to be enforceable to the fullest extent permitted by law, and all remaining provisions shall continue in full force without being impaired or invalidated in any way.</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13.7.</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If the Signatory performs his or her duties for the Company at the Company’s business locations in Massachusetts, then this Agreement shall be governed by and construed in accordance with the laws of the Commonwealth of Massachusetts, excluding choice of law rules thereof. If the Signatory resides out of the Commonwealth of Massachusetts, and regularly performs his or her duties for the Company outside of Massachusetts, then this Agreement shall be governed by and construed in accordance with the laws of State of Delaware (excluding choice of law rules), where the Company is incorporated.</w:t>
      </w:r>
    </w:p>
    <w:p>
      <w:pPr>
        <w:pStyle w:val="TextBody"/>
        <w:bidi w:val="0"/>
        <w:spacing w:before="240" w:after="283"/>
        <w:jc w:val="both"/>
        <w:rPr>
          <w:rFonts w:ascii="Times New Roman" w:hAnsi="Times New Roman"/>
          <w:color w:val="000000"/>
          <w:sz w:val="21"/>
          <w:u w:val="single"/>
        </w:rPr>
      </w:pPr>
      <w:r>
        <w:rPr>
          <w:rFonts w:ascii="Times New Roman" w:hAnsi="Times New Roman"/>
          <w:color w:val="000000"/>
          <w:sz w:val="21"/>
          <w:u w:val="single"/>
        </w:rPr>
        <w:t>13.8</w:t>
      </w:r>
    </w:p>
    <w:p>
      <w:pPr>
        <w:pStyle w:val="TextBody"/>
        <w:bidi w:val="0"/>
        <w:spacing w:before="240" w:after="283"/>
        <w:jc w:val="both"/>
        <w:rPr/>
      </w:pPr>
      <w:r>
        <w:rPr>
          <w:rFonts w:ascii="Times New Roman" w:hAnsi="Times New Roman"/>
          <w:color w:val="000000"/>
          <w:sz w:val="22"/>
          <w:u w:val="single"/>
        </w:rPr>
        <w:t>Disclosure</w:t>
      </w:r>
      <w:r>
        <w:rPr>
          <w:rFonts w:ascii="Times New Roman" w:hAnsi="Times New Roman"/>
          <w:color w:val="000000"/>
          <w:sz w:val="22"/>
        </w:rPr>
        <w:t>. The Signatory shall disclose the existence and terms of this Agreement to any employer or other person that the Signatory may work for or be engaged by during the Term and thereafter. The Signatory agrees that the Company may, after notification to the Signatory, provide a copy of this Agreement to any business or enterprise (i) which the Signatory may directly or indirectly own, manage, operate, finance, join, control or participate in the ownership, management, operation, financing, or control of, or (ii) with which the Signatory may be connected with as an officer, director, employee, partner, principal, agent, representative, consultant or otherwise, or in connection with which the Signatory may use or permit the Signatory's name to be used. The Signatory will provide the names and addresses of any of such persons or entities as the Company may from time to time reasonably request.</w:t>
      </w:r>
    </w:p>
    <w:p>
      <w:pPr>
        <w:pStyle w:val="TextBody"/>
        <w:bidi w:val="0"/>
        <w:spacing w:before="239" w:after="283"/>
        <w:jc w:val="both"/>
        <w:rPr>
          <w:rFonts w:ascii="Times New Roman" w:hAnsi="Times New Roman"/>
          <w:color w:val="000000"/>
          <w:sz w:val="21"/>
          <w:u w:val="single"/>
        </w:rPr>
      </w:pPr>
      <w:r>
        <w:rPr>
          <w:rFonts w:ascii="Times New Roman" w:hAnsi="Times New Roman"/>
          <w:color w:val="000000"/>
          <w:sz w:val="21"/>
          <w:u w:val="single"/>
        </w:rPr>
        <w:t>13.9</w:t>
      </w:r>
    </w:p>
    <w:p>
      <w:pPr>
        <w:pStyle w:val="TextBody"/>
        <w:bidi w:val="0"/>
        <w:spacing w:before="239" w:after="283"/>
        <w:jc w:val="both"/>
        <w:rPr/>
      </w:pPr>
      <w:r>
        <w:rPr>
          <w:rFonts w:ascii="Times New Roman" w:hAnsi="Times New Roman"/>
          <w:color w:val="000000"/>
          <w:sz w:val="22"/>
          <w:u w:val="single"/>
        </w:rPr>
        <w:t>Notices</w:t>
      </w:r>
      <w:r>
        <w:rPr>
          <w:rFonts w:ascii="Times New Roman" w:hAnsi="Times New Roman"/>
          <w:color w:val="000000"/>
          <w:sz w:val="22"/>
        </w:rPr>
        <w:t xml:space="preserve">. Any notice, demand, request or other communication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hereunder to any party shall be deemed to be sufficient if contained in a written instrument delivered in person or duly sent by first class registered, certified or overnight mail, postage prepaid, or telecopied with a confirmation copy by regular, certified or overnight mail, postage prepaid, or sent by electronic mail with a confirmation copy by regular, certified or overnight mail, postage prepaid, to such party at the address, telecopier number or email address, as the case may be, set forth below or such other address, telecopier number, or email address, as the case may be, as may hereafter be designated in writing by the addressee to the addressor listing all parties:</w:t>
      </w:r>
    </w:p>
    <w:p>
      <w:pPr>
        <w:pStyle w:val="TextBody"/>
        <w:bidi w:val="0"/>
        <w:spacing w:before="5" w:after="283"/>
        <w:jc w:val="both"/>
        <w:rPr>
          <w:rFonts w:ascii="Times New Roman" w:hAnsi="Times New Roman"/>
          <w:sz w:val="20"/>
        </w:rPr>
      </w:pPr>
      <w:r>
        <w:rPr>
          <w:rFonts w:ascii="Times New Roman" w:hAnsi="Times New Roman"/>
          <w:color w:val="000000"/>
          <w:sz w:val="22"/>
        </w:rPr>
        <w:t>(i) if to the Company, to:</w:t>
      </w:r>
      <w:r>
        <w:rPr>
          <w:rFonts w:ascii="Times New Roman" w:hAnsi="Times New Roman"/>
          <w:color w:val="000000"/>
          <w:sz w:val="20"/>
        </w:rPr>
        <w:t xml:space="preserve"> </w:t>
      </w:r>
    </w:p>
    <w:p>
      <w:pPr>
        <w:pStyle w:val="TextBody"/>
        <w:bidi w:val="0"/>
        <w:spacing w:before="5" w:after="283"/>
        <w:jc w:val="both"/>
        <w:rPr>
          <w:rFonts w:ascii="Times New Roman" w:hAnsi="Times New Roman"/>
          <w:color w:val="000000"/>
          <w:sz w:val="22"/>
        </w:rPr>
      </w:pPr>
      <w:r>
        <w:rPr>
          <w:rFonts w:ascii="Times New Roman" w:hAnsi="Times New Roman"/>
          <w:color w:val="000000"/>
          <w:sz w:val="22"/>
        </w:rPr>
        <w:t>CarGurus, Inc.</w:t>
      </w:r>
    </w:p>
    <w:p>
      <w:pPr>
        <w:pStyle w:val="TextBody"/>
        <w:bidi w:val="0"/>
        <w:spacing w:before="3" w:after="283"/>
        <w:jc w:val="both"/>
        <w:rPr>
          <w:rFonts w:ascii="Times New Roman" w:hAnsi="Times New Roman"/>
          <w:sz w:val="20"/>
        </w:rPr>
      </w:pPr>
      <w:r>
        <w:rPr>
          <w:rFonts w:ascii="Times New Roman" w:hAnsi="Times New Roman"/>
          <w:color w:val="000000"/>
          <w:sz w:val="22"/>
        </w:rPr>
        <w:t>Two Canal Park</w:t>
      </w:r>
      <w:r>
        <w:rPr>
          <w:rFonts w:ascii="Times New Roman" w:hAnsi="Times New Roman"/>
          <w:color w:val="000000"/>
          <w:sz w:val="20"/>
        </w:rPr>
        <w:t xml:space="preserve"> </w:t>
      </w:r>
    </w:p>
    <w:p>
      <w:pPr>
        <w:pStyle w:val="TextBody"/>
        <w:bidi w:val="0"/>
        <w:spacing w:before="3" w:after="283"/>
        <w:jc w:val="both"/>
        <w:rPr>
          <w:rFonts w:ascii="Times New Roman" w:hAnsi="Times New Roman"/>
          <w:color w:val="000000"/>
          <w:sz w:val="22"/>
        </w:rPr>
      </w:pPr>
      <w:r>
        <w:rPr>
          <w:rFonts w:ascii="Times New Roman" w:hAnsi="Times New Roman"/>
          <w:color w:val="000000"/>
          <w:sz w:val="22"/>
        </w:rPr>
        <w:t>Cambridge, MA 02141</w:t>
      </w:r>
    </w:p>
    <w:p>
      <w:pPr>
        <w:pStyle w:val="TextBody"/>
        <w:bidi w:val="0"/>
        <w:spacing w:before="3" w:after="283"/>
        <w:jc w:val="both"/>
        <w:rPr>
          <w:rFonts w:ascii="Times New Roman" w:hAnsi="Times New Roman"/>
          <w:sz w:val="20"/>
        </w:rPr>
      </w:pPr>
      <w:r>
        <w:rPr>
          <w:rFonts w:ascii="Times New Roman" w:hAnsi="Times New Roman"/>
          <w:color w:val="000000"/>
          <w:sz w:val="22"/>
        </w:rPr>
        <w:t>Attention: Chief People Officer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Email: [email address]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a copy to:</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CarGurus, Inc.</w:t>
      </w:r>
    </w:p>
    <w:p>
      <w:pPr>
        <w:pStyle w:val="TextBody"/>
        <w:bidi w:val="0"/>
        <w:jc w:val="left"/>
        <w:rPr>
          <w:rFonts w:ascii="Times New Roman" w:hAnsi="Times New Roman"/>
          <w:color w:val="000000"/>
          <w:sz w:val="22"/>
        </w:rPr>
      </w:pPr>
      <w:r>
        <w:rPr>
          <w:rFonts w:ascii="Times New Roman" w:hAnsi="Times New Roman"/>
          <w:color w:val="000000"/>
          <w:sz w:val="22"/>
        </w:rPr>
        <w:t>Two Canal Park</w:t>
      </w:r>
    </w:p>
    <w:p>
      <w:pPr>
        <w:pStyle w:val="TextBody"/>
        <w:bidi w:val="0"/>
        <w:jc w:val="left"/>
        <w:rPr>
          <w:rFonts w:ascii="Times New Roman" w:hAnsi="Times New Roman"/>
          <w:sz w:val="20"/>
        </w:rPr>
      </w:pPr>
      <w:r>
        <w:rPr>
          <w:rFonts w:ascii="Times New Roman" w:hAnsi="Times New Roman"/>
          <w:color w:val="000000"/>
          <w:sz w:val="22"/>
        </w:rPr>
        <w:t>Cambridge, MA 02141</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Attention: General Counsel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Email: [email address]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to the Signatory, to:</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[address]</w:t>
      </w:r>
    </w:p>
    <w:p>
      <w:pPr>
        <w:pStyle w:val="TextBody"/>
        <w:bidi w:val="0"/>
        <w:jc w:val="left"/>
        <w:rPr>
          <w:rFonts w:ascii="Times New Roman" w:hAnsi="Times New Roman"/>
          <w:color w:val="000000"/>
          <w:sz w:val="22"/>
        </w:rPr>
      </w:pPr>
      <w:r>
        <w:rPr>
          <w:rFonts w:ascii="Times New Roman" w:hAnsi="Times New Roman"/>
          <w:color w:val="000000"/>
          <w:sz w:val="22"/>
        </w:rPr>
        <w:t>[address]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Phone: [phone number]</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Email: [email address]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such notices, requests and other communications shall be deemed to have been received: (i) in the case of personal delivery, on the date of such delivery; (ii) in the case of registered or certified mail, upon receipt or on the date of rejection of receipt (iii) in the case of facsimile transmission, when confirmed by facsimile machine report, and (iv) in the case of electronic mail, upon receipt of an electronic message confirming delivery.</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THE SIGNATORY HAS READ THIS AGREEMENT CAREFULLY AND UNDERSTANDS ITS TERMS.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intending to be legally bound, have executed and delivered this Agreement as an instrument under seal as of the date first above written.</w:t>
      </w:r>
    </w:p>
    <w:p>
      <w:pPr>
        <w:pStyle w:val="TextBody"/>
        <w:bidi w:val="0"/>
        <w:spacing w:before="5" w:after="283"/>
        <w:jc w:val="left"/>
        <w:rPr/>
      </w:pPr>
      <w:r>
        <w:rPr/>
        <w:t> </w:t>
      </w:r>
    </w:p>
    <w:p>
      <w:pPr>
        <w:pStyle w:val="TextBody"/>
        <w:bidi w:val="0"/>
        <w:jc w:val="left"/>
        <w:rPr>
          <w:rFonts w:ascii="Times New Roman" w:hAnsi="Times New Roman"/>
          <w:b/>
          <w:color w:val="000000"/>
          <w:sz w:val="22"/>
        </w:rPr>
      </w:pPr>
      <w:bookmarkStart w:id="28" w:name="cargurus__inc_"/>
      <w:bookmarkEnd w:id="28"/>
      <w:r>
        <w:rPr>
          <w:rFonts w:ascii="Times New Roman" w:hAnsi="Times New Roman"/>
          <w:b/>
          <w:color w:val="000000"/>
          <w:sz w:val="22"/>
        </w:rPr>
        <w:t>CARGURUS, INC.</w:t>
      </w:r>
    </w:p>
    <w:p>
      <w:pPr>
        <w:pStyle w:val="TextBody"/>
        <w:bidi w:val="0"/>
        <w:spacing w:before="23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w:t>
      </w:r>
    </w:p>
    <w:p>
      <w:pPr>
        <w:pStyle w:val="TextBody"/>
        <w:bidi w:val="0"/>
        <w:spacing w:before="3" w:after="283"/>
        <w:jc w:val="left"/>
        <w:rPr/>
      </w:pPr>
      <w:r>
        <w:rPr/>
        <w:t> </w:t>
      </w:r>
    </w:p>
    <w:p>
      <w:pPr>
        <w:pStyle w:val="TextBody"/>
        <w:bidi w:val="0"/>
        <w:spacing w:before="60" w:after="283"/>
        <w:jc w:val="left"/>
        <w:rPr>
          <w:rFonts w:ascii="Times New Roman" w:hAnsi="Times New Roman"/>
          <w:color w:val="000000"/>
          <w:sz w:val="22"/>
          <w:u w:val="single"/>
        </w:rPr>
      </w:pPr>
      <w:r>
        <w:rPr>
          <w:rFonts w:ascii="Times New Roman" w:hAnsi="Times New Roman"/>
          <w:color w:val="000000"/>
          <w:sz w:val="22"/>
          <w:u w:val="single"/>
        </w:rPr>
        <w:t xml:space="preserve">/s/ Sam Zales </w:t>
      </w:r>
    </w:p>
    <w:p>
      <w:pPr>
        <w:pStyle w:val="TextBody"/>
        <w:bidi w:val="0"/>
        <w:spacing w:before="60" w:after="283"/>
        <w:jc w:val="left"/>
        <w:rPr>
          <w:rFonts w:ascii="Times New Roman" w:hAnsi="Times New Roman"/>
          <w:color w:val="000000"/>
          <w:sz w:val="22"/>
        </w:rPr>
      </w:pPr>
      <w:r>
        <w:rPr>
          <w:rFonts w:ascii="Times New Roman" w:hAnsi="Times New Roman"/>
          <w:color w:val="000000"/>
          <w:sz w:val="22"/>
        </w:rPr>
        <w:t>Name: Sam Zales</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Title: President and Chief Operating Officer</w:t>
      </w:r>
    </w:p>
    <w:p>
      <w:pPr>
        <w:pStyle w:val="TextBody"/>
        <w:bidi w:val="0"/>
        <w:jc w:val="left"/>
        <w:rPr/>
      </w:pPr>
      <w:r>
        <w:rPr/>
        <w:t> </w:t>
      </w:r>
    </w:p>
    <w:p>
      <w:pPr>
        <w:pStyle w:val="TextBody"/>
        <w:bidi w:val="0"/>
        <w:jc w:val="left"/>
        <w:rPr/>
      </w:pPr>
      <w:r>
        <w:rPr/>
        <w:t> </w:t>
      </w:r>
    </w:p>
    <w:p>
      <w:pPr>
        <w:pStyle w:val="TextBody"/>
        <w:bidi w:val="0"/>
        <w:spacing w:before="14" w:after="283"/>
        <w:jc w:val="left"/>
        <w:rPr/>
      </w:pPr>
      <w:r>
        <w:rPr/>
        <w:t> </w:t>
      </w:r>
    </w:p>
    <w:p>
      <w:pPr>
        <w:pStyle w:val="TextBody"/>
        <w:bidi w:val="0"/>
        <w:spacing w:before="75" w:after="283"/>
        <w:jc w:val="left"/>
        <w:rPr>
          <w:rFonts w:ascii="Times New Roman" w:hAnsi="Times New Roman"/>
          <w:color w:val="000000"/>
          <w:sz w:val="22"/>
          <w:u w:val="single"/>
        </w:rPr>
      </w:pPr>
      <w:bookmarkStart w:id="29" w:name="print_name"/>
      <w:bookmarkEnd w:id="29"/>
      <w:r>
        <w:rPr>
          <w:rFonts w:ascii="Times New Roman" w:hAnsi="Times New Roman"/>
          <w:color w:val="000000"/>
          <w:sz w:val="22"/>
          <w:u w:val="single"/>
        </w:rPr>
        <w:t xml:space="preserve">/s/ Zachary Hallowell </w:t>
      </w:r>
    </w:p>
    <w:p>
      <w:pPr>
        <w:pStyle w:val="TextBody"/>
        <w:bidi w:val="0"/>
        <w:spacing w:before="75" w:after="283"/>
        <w:jc w:val="left"/>
        <w:rPr>
          <w:rFonts w:ascii="Times New Roman" w:hAnsi="Times New Roman"/>
          <w:b/>
          <w:i/>
          <w:color w:val="000000"/>
          <w:sz w:val="22"/>
        </w:rPr>
      </w:pPr>
      <w:r>
        <w:rPr>
          <w:rFonts w:ascii="Times New Roman" w:hAnsi="Times New Roman"/>
          <w:b/>
          <w:i/>
          <w:color w:val="000000"/>
          <w:sz w:val="22"/>
        </w:rPr>
        <w:t>Print Name</w:t>
      </w:r>
    </w:p>
    <w:p>
      <w:pPr>
        <w:pStyle w:val="TextBody"/>
        <w:bidi w:val="0"/>
        <w:jc w:val="left"/>
        <w:rPr>
          <w:rFonts w:ascii="Times New Roman" w:hAnsi="Times New Roman"/>
          <w:sz w:val="20"/>
        </w:rPr>
      </w:pPr>
      <w:r>
        <w:rPr>
          <w:rFonts w:ascii="Times New Roman" w:hAnsi="Times New Roman"/>
          <w:b/>
          <w:i/>
          <w:color w:val="000000"/>
          <w:sz w:val="22"/>
        </w:rPr>
        <w:t xml:space="preserve">of Signatory: </w:t>
      </w:r>
      <w:r>
        <w:rPr>
          <w:rFonts w:ascii="Times New Roman" w:hAnsi="Times New Roman"/>
          <w:color w:val="000000"/>
          <w:sz w:val="22"/>
        </w:rPr>
        <w:t>Zachary Hallowell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9" w:after="283"/>
        <w:jc w:val="right"/>
        <w:rPr>
          <w:rFonts w:ascii="Arial" w:hAnsi="Arial"/>
          <w:b/>
          <w:color w:val="000000"/>
          <w:sz w:val="20"/>
        </w:rPr>
      </w:pPr>
      <w:bookmarkStart w:id="30" w:name="carg-ex10_2.htm"/>
      <w:bookmarkStart w:id="31" w:name="kscargex10_2"/>
      <w:bookmarkEnd w:id="30"/>
      <w:bookmarkEnd w:id="31"/>
      <w:r>
        <w:rPr>
          <w:rFonts w:ascii="Arial" w:hAnsi="Arial"/>
          <w:b/>
          <w:color w:val="000000"/>
          <w:sz w:val="20"/>
        </w:rPr>
        <w:t>Exhibit 10.2</w:t>
      </w:r>
      <w:r>
        <w:br w:type="page"/>
      </w:r>
    </w:p>
    <w:p>
      <w:pPr>
        <w:pStyle w:val="TextBody"/>
        <w:bidi w:val="0"/>
        <w:jc w:val="center"/>
        <w:rPr>
          <w:rFonts w:ascii="Times New Roman" w:hAnsi="Times New Roman"/>
          <w:sz w:val="20"/>
        </w:rPr>
      </w:pPr>
      <w:r>
        <w:rPr>
          <w:rFonts w:ascii="Arial" w:hAnsi="Arial"/>
          <w:color w:val="000000"/>
          <w:sz w:val="27"/>
        </w:rPr>
        <w:t>Parcel</w:t>
      </w:r>
      <w:r>
        <w:rPr>
          <w:rFonts w:ascii="Times New Roman" w:hAnsi="Times New Roman"/>
          <w:color w:val="000000"/>
          <w:sz w:val="20"/>
        </w:rPr>
        <w:t xml:space="preserve"> </w:t>
      </w:r>
      <w:r>
        <w:rPr>
          <w:rFonts w:ascii="Arial" w:hAnsi="Arial"/>
          <w:color w:val="000000"/>
          <w:sz w:val="27"/>
        </w:rPr>
        <w:t>12</w:t>
      </w:r>
    </w:p>
    <w:p>
      <w:pPr>
        <w:pStyle w:val="TextBody"/>
        <w:bidi w:val="0"/>
        <w:jc w:val="center"/>
        <w:rPr>
          <w:rFonts w:ascii="Times New Roman" w:hAnsi="Times New Roman"/>
          <w:sz w:val="20"/>
        </w:rPr>
      </w:pPr>
      <w:r>
        <w:rPr>
          <w:rFonts w:ascii="Arial" w:hAnsi="Arial"/>
          <w:color w:val="000000"/>
          <w:sz w:val="17"/>
        </w:rPr>
        <w:t>Boston,</w:t>
      </w:r>
      <w:r>
        <w:rPr>
          <w:rFonts w:ascii="Times New Roman" w:hAnsi="Times New Roman"/>
          <w:color w:val="000000"/>
          <w:sz w:val="20"/>
        </w:rPr>
        <w:t xml:space="preserve"> </w:t>
      </w:r>
      <w:r>
        <w:rPr>
          <w:rFonts w:ascii="Arial" w:hAnsi="Arial"/>
          <w:color w:val="000000"/>
          <w:sz w:val="17"/>
        </w:rPr>
        <w:t>MA</w:t>
      </w:r>
    </w:p>
    <w:p>
      <w:pPr>
        <w:pStyle w:val="TextBody"/>
        <w:bidi w:val="0"/>
        <w:jc w:val="left"/>
        <w:rPr/>
      </w:pPr>
      <w:r>
        <w:rPr/>
        <w:t> </w:t>
      </w:r>
    </w:p>
    <w:tbl>
      <w:tblPr>
        <w:tblW w:w="3750" w:type="dxa"/>
        <w:jc w:val="left"/>
        <w:tblInd w:w="0" w:type="dxa"/>
        <w:tblLayout w:type="fixed"/>
        <w:tblCellMar>
          <w:top w:w="28" w:type="dxa"/>
          <w:left w:w="28" w:type="dxa"/>
          <w:bottom w:w="28" w:type="dxa"/>
          <w:right w:w="28" w:type="dxa"/>
        </w:tblCellMar>
      </w:tblPr>
      <w:tblGrid>
        <w:gridCol w:w="1390"/>
        <w:gridCol w:w="2360"/>
      </w:tblGrid>
      <w:tr>
        <w:trPr/>
        <w:tc>
          <w:tcPr>
            <w:tcW w:w="13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3750"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83"/>
              <w:jc w:val="center"/>
              <w:rPr>
                <w:rFonts w:ascii="Times New Roman" w:hAnsi="Times New Roman"/>
                <w:sz w:val="22"/>
              </w:rPr>
            </w:pPr>
            <w:r>
              <w:rPr>
                <w:rFonts w:ascii="Arial" w:hAnsi="Arial"/>
                <w:color w:val="000000"/>
                <w:sz w:val="22"/>
              </w:rPr>
              <w:t>CarGurus</w:t>
            </w:r>
            <w:r>
              <w:rPr>
                <w:rFonts w:ascii="Times New Roman" w:hAnsi="Times New Roman"/>
                <w:color w:val="000000"/>
                <w:sz w:val="22"/>
              </w:rPr>
              <w:t xml:space="preserve"> </w:t>
            </w:r>
            <w:r>
              <w:rPr>
                <w:rFonts w:ascii="Arial" w:hAnsi="Arial"/>
                <w:color w:val="000000"/>
                <w:sz w:val="22"/>
              </w:rPr>
              <w:t>Tenant</w:t>
            </w:r>
            <w:r>
              <w:rPr>
                <w:rFonts w:ascii="Times New Roman" w:hAnsi="Times New Roman"/>
                <w:color w:val="000000"/>
                <w:sz w:val="22"/>
              </w:rPr>
              <w:t xml:space="preserve"> </w:t>
            </w:r>
            <w:r>
              <w:rPr>
                <w:rFonts w:ascii="Arial" w:hAnsi="Arial"/>
                <w:color w:val="000000"/>
                <w:sz w:val="22"/>
              </w:rPr>
              <w:t>Change</w:t>
            </w:r>
            <w:r>
              <w:rPr>
                <w:rFonts w:ascii="Times New Roman" w:hAnsi="Times New Roman"/>
                <w:color w:val="000000"/>
                <w:sz w:val="22"/>
              </w:rPr>
              <w:t xml:space="preserve"> </w:t>
            </w:r>
            <w:r>
              <w:rPr>
                <w:rFonts w:ascii="Arial" w:hAnsi="Arial"/>
                <w:color w:val="000000"/>
                <w:sz w:val="22"/>
              </w:rPr>
              <w:t>Order</w:t>
            </w:r>
            <w:r>
              <w:rPr>
                <w:rFonts w:ascii="Times New Roman" w:hAnsi="Times New Roman"/>
                <w:color w:val="000000"/>
                <w:sz w:val="22"/>
              </w:rPr>
              <w:t xml:space="preserve"> </w:t>
            </w:r>
            <w:r>
              <w:rPr>
                <w:rFonts w:ascii="Arial" w:hAnsi="Arial"/>
                <w:color w:val="000000"/>
                <w:sz w:val="22"/>
              </w:rPr>
              <w:t>#18</w:t>
            </w:r>
          </w:p>
        </w:tc>
      </w:tr>
      <w:tr>
        <w:trPr/>
        <w:tc>
          <w:tcPr>
            <w:tcW w:w="13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6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Date:</w:t>
            </w:r>
          </w:p>
        </w:tc>
        <w:tc>
          <w:tcPr>
            <w:tcW w:w="236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3/29/2024</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13"/>
        </w:rPr>
        <w:t>Canal</w:t>
      </w:r>
      <w:r>
        <w:rPr>
          <w:rFonts w:ascii="Times New Roman" w:hAnsi="Times New Roman"/>
          <w:color w:val="000000"/>
          <w:sz w:val="20"/>
        </w:rPr>
        <w:t xml:space="preserve"> </w:t>
      </w:r>
      <w:r>
        <w:rPr>
          <w:rFonts w:ascii="Arial" w:hAnsi="Arial"/>
          <w:color w:val="000000"/>
          <w:sz w:val="13"/>
        </w:rPr>
        <w:t>Park</w:t>
      </w:r>
    </w:p>
    <w:p>
      <w:pPr>
        <w:pStyle w:val="TextBody"/>
        <w:bidi w:val="0"/>
        <w:jc w:val="left"/>
        <w:rPr>
          <w:rFonts w:ascii="Times New Roman" w:hAnsi="Times New Roman"/>
          <w:sz w:val="20"/>
        </w:rPr>
      </w:pPr>
      <w:r>
        <w:rPr>
          <w:rFonts w:ascii="Arial" w:hAnsi="Arial"/>
          <w:color w:val="000000"/>
          <w:sz w:val="13"/>
        </w:rPr>
        <w:t>Cambridge,</w:t>
      </w:r>
      <w:r>
        <w:rPr>
          <w:rFonts w:ascii="Times New Roman" w:hAnsi="Times New Roman"/>
          <w:color w:val="000000"/>
          <w:sz w:val="20"/>
        </w:rPr>
        <w:t xml:space="preserve"> </w:t>
      </w:r>
      <w:r>
        <w:rPr>
          <w:rFonts w:ascii="Arial" w:hAnsi="Arial"/>
          <w:color w:val="000000"/>
          <w:sz w:val="13"/>
        </w:rPr>
        <w:t>MA</w:t>
      </w:r>
      <w:r>
        <w:rPr>
          <w:rFonts w:ascii="Times New Roman" w:hAnsi="Times New Roman"/>
          <w:color w:val="000000"/>
          <w:sz w:val="20"/>
        </w:rPr>
        <w:t xml:space="preserve"> </w:t>
      </w:r>
      <w:r>
        <w:rPr>
          <w:rFonts w:ascii="Arial" w:hAnsi="Arial"/>
          <w:color w:val="000000"/>
          <w:sz w:val="13"/>
        </w:rPr>
        <w:t>02141</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Mr.</w:t>
      </w:r>
      <w:r>
        <w:rPr>
          <w:rFonts w:ascii="Times New Roman" w:hAnsi="Times New Roman"/>
          <w:color w:val="000000"/>
          <w:sz w:val="20"/>
        </w:rPr>
        <w:t xml:space="preserve"> </w:t>
      </w:r>
      <w:r>
        <w:rPr>
          <w:rFonts w:ascii="Arial" w:hAnsi="Arial"/>
          <w:color w:val="000000"/>
          <w:sz w:val="13"/>
        </w:rPr>
        <w:t>John</w:t>
      </w:r>
      <w:r>
        <w:rPr>
          <w:rFonts w:ascii="Times New Roman" w:hAnsi="Times New Roman"/>
          <w:color w:val="000000"/>
          <w:sz w:val="20"/>
        </w:rPr>
        <w:t xml:space="preserve"> </w:t>
      </w:r>
      <w:r>
        <w:rPr>
          <w:rFonts w:ascii="Arial" w:hAnsi="Arial"/>
          <w:color w:val="000000"/>
          <w:sz w:val="13"/>
        </w:rPr>
        <w:t>Hart:</w:t>
      </w:r>
    </w:p>
    <w:p>
      <w:pPr>
        <w:pStyle w:val="TextBody"/>
        <w:bidi w:val="0"/>
        <w:spacing w:before="200" w:after="283"/>
        <w:jc w:val="left"/>
        <w:rPr>
          <w:rFonts w:ascii="Times New Roman" w:hAnsi="Times New Roman"/>
          <w:sz w:val="20"/>
        </w:rPr>
      </w:pPr>
      <w:r>
        <w:rPr>
          <w:rFonts w:ascii="Arial" w:hAnsi="Arial"/>
          <w:color w:val="000000"/>
          <w:sz w:val="13"/>
        </w:rPr>
        <w:t>RE:</w:t>
      </w:r>
      <w:r>
        <w:rPr>
          <w:rFonts w:ascii="Times New Roman" w:hAnsi="Times New Roman"/>
          <w:color w:val="000000"/>
          <w:sz w:val="20"/>
        </w:rPr>
        <w:t xml:space="preserve"> </w:t>
      </w:r>
      <w:r>
        <w:rPr>
          <w:rFonts w:ascii="Arial" w:hAnsi="Arial"/>
          <w:color w:val="000000"/>
          <w:sz w:val="13"/>
        </w:rPr>
        <w:t>Change</w:t>
      </w:r>
      <w:r>
        <w:rPr>
          <w:rFonts w:ascii="Times New Roman" w:hAnsi="Times New Roman"/>
          <w:color w:val="000000"/>
          <w:sz w:val="20"/>
        </w:rPr>
        <w:t xml:space="preserve"> </w:t>
      </w:r>
      <w:r>
        <w:rPr>
          <w:rFonts w:ascii="Arial" w:hAnsi="Arial"/>
          <w:color w:val="000000"/>
          <w:sz w:val="13"/>
        </w:rPr>
        <w:t>Order</w:t>
      </w:r>
      <w:r>
        <w:rPr>
          <w:rFonts w:ascii="Times New Roman" w:hAnsi="Times New Roman"/>
          <w:color w:val="000000"/>
          <w:sz w:val="20"/>
        </w:rPr>
        <w:t xml:space="preserve"> </w:t>
      </w:r>
      <w:r>
        <w:rPr>
          <w:rFonts w:ascii="Arial" w:hAnsi="Arial"/>
          <w:color w:val="000000"/>
          <w:sz w:val="13"/>
        </w:rPr>
        <w:t>-</w:t>
      </w:r>
      <w:r>
        <w:rPr>
          <w:rFonts w:ascii="Times New Roman" w:hAnsi="Times New Roman"/>
          <w:color w:val="000000"/>
          <w:sz w:val="20"/>
        </w:rPr>
        <w:t xml:space="preserve"> </w:t>
      </w:r>
      <w:r>
        <w:rPr>
          <w:rFonts w:ascii="Arial" w:hAnsi="Arial"/>
          <w:color w:val="000000"/>
          <w:sz w:val="13"/>
        </w:rPr>
        <w:t>Lease</w:t>
      </w:r>
      <w:r>
        <w:rPr>
          <w:rFonts w:ascii="Times New Roman" w:hAnsi="Times New Roman"/>
          <w:color w:val="000000"/>
          <w:sz w:val="20"/>
        </w:rPr>
        <w:t xml:space="preserve"> </w:t>
      </w:r>
      <w:r>
        <w:rPr>
          <w:rFonts w:ascii="Arial" w:hAnsi="Arial"/>
          <w:color w:val="000000"/>
          <w:sz w:val="13"/>
        </w:rPr>
        <w:t>by</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between</w:t>
      </w:r>
      <w:r>
        <w:rPr>
          <w:rFonts w:ascii="Times New Roman" w:hAnsi="Times New Roman"/>
          <w:color w:val="000000"/>
          <w:sz w:val="20"/>
        </w:rPr>
        <w:t xml:space="preserve"> </w:t>
      </w: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Inc.</w:t>
      </w:r>
      <w:r>
        <w:rPr>
          <w:rFonts w:ascii="Times New Roman" w:hAnsi="Times New Roman"/>
          <w:color w:val="000000"/>
          <w:sz w:val="20"/>
        </w:rPr>
        <w:t xml:space="preserve"> </w:t>
      </w: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P-12</w:t>
      </w:r>
      <w:r>
        <w:rPr>
          <w:rFonts w:ascii="Times New Roman" w:hAnsi="Times New Roman"/>
          <w:color w:val="000000"/>
          <w:sz w:val="20"/>
        </w:rPr>
        <w:t xml:space="preserve"> </w:t>
      </w:r>
      <w:r>
        <w:rPr>
          <w:rFonts w:ascii="Arial" w:hAnsi="Arial"/>
          <w:color w:val="000000"/>
          <w:sz w:val="13"/>
        </w:rPr>
        <w:t>Property</w:t>
      </w:r>
      <w:r>
        <w:rPr>
          <w:rFonts w:ascii="Times New Roman" w:hAnsi="Times New Roman"/>
          <w:color w:val="000000"/>
          <w:sz w:val="20"/>
        </w:rPr>
        <w:t xml:space="preserve"> </w:t>
      </w:r>
      <w:r>
        <w:rPr>
          <w:rFonts w:ascii="Arial" w:hAnsi="Arial"/>
          <w:color w:val="000000"/>
          <w:sz w:val="13"/>
        </w:rPr>
        <w:t>LLC</w:t>
      </w:r>
      <w:r>
        <w:rPr>
          <w:rFonts w:ascii="Times New Roman" w:hAnsi="Times New Roman"/>
          <w:color w:val="000000"/>
          <w:sz w:val="20"/>
        </w:rPr>
        <w:t xml:space="preserve"> </w:t>
      </w:r>
      <w:r>
        <w:rPr>
          <w:rFonts w:ascii="Arial" w:hAnsi="Arial"/>
          <w:color w:val="000000"/>
          <w:sz w:val="13"/>
        </w:rPr>
        <w:t>("Landlord"),</w:t>
      </w:r>
      <w:r>
        <w:rPr>
          <w:rFonts w:ascii="Times New Roman" w:hAnsi="Times New Roman"/>
          <w:color w:val="000000"/>
          <w:sz w:val="20"/>
        </w:rPr>
        <w:t xml:space="preserve"> </w:t>
      </w:r>
      <w:r>
        <w:rPr>
          <w:rFonts w:ascii="Arial" w:hAnsi="Arial"/>
          <w:color w:val="000000"/>
          <w:sz w:val="13"/>
        </w:rPr>
        <w:t>dated</w:t>
      </w:r>
      <w:r>
        <w:rPr>
          <w:rFonts w:ascii="Times New Roman" w:hAnsi="Times New Roman"/>
          <w:color w:val="000000"/>
          <w:sz w:val="20"/>
        </w:rPr>
        <w:t xml:space="preserve"> </w:t>
      </w:r>
      <w:r>
        <w:rPr>
          <w:rFonts w:ascii="Arial" w:hAnsi="Arial"/>
          <w:color w:val="000000"/>
          <w:sz w:val="13"/>
        </w:rPr>
        <w:t>December</w:t>
      </w:r>
      <w:r>
        <w:rPr>
          <w:rFonts w:ascii="Times New Roman" w:hAnsi="Times New Roman"/>
          <w:color w:val="000000"/>
          <w:sz w:val="20"/>
        </w:rPr>
        <w:t xml:space="preserve"> </w:t>
      </w:r>
      <w:r>
        <w:rPr>
          <w:rFonts w:ascii="Arial" w:hAnsi="Arial"/>
          <w:color w:val="000000"/>
          <w:sz w:val="13"/>
        </w:rPr>
        <w:t>19,</w:t>
      </w:r>
      <w:r>
        <w:rPr>
          <w:rFonts w:ascii="Times New Roman" w:hAnsi="Times New Roman"/>
          <w:color w:val="000000"/>
          <w:sz w:val="20"/>
        </w:rPr>
        <w:t xml:space="preserve"> </w:t>
      </w:r>
      <w:r>
        <w:rPr>
          <w:rFonts w:ascii="Arial" w:hAnsi="Arial"/>
          <w:color w:val="000000"/>
          <w:sz w:val="13"/>
        </w:rPr>
        <w:t>2019,</w:t>
      </w:r>
      <w:r>
        <w:rPr>
          <w:rFonts w:ascii="Times New Roman" w:hAnsi="Times New Roman"/>
          <w:color w:val="000000"/>
          <w:sz w:val="20"/>
        </w:rPr>
        <w:t xml:space="preserve"> </w:t>
      </w:r>
      <w:r>
        <w:rPr>
          <w:rFonts w:ascii="Arial" w:hAnsi="Arial"/>
          <w:color w:val="000000"/>
          <w:sz w:val="13"/>
        </w:rPr>
        <w:t>as</w:t>
      </w:r>
      <w:r>
        <w:rPr>
          <w:rFonts w:ascii="Times New Roman" w:hAnsi="Times New Roman"/>
          <w:color w:val="000000"/>
          <w:sz w:val="20"/>
        </w:rPr>
        <w:t xml:space="preserve"> </w:t>
      </w:r>
      <w:r>
        <w:rPr>
          <w:rFonts w:ascii="Arial" w:hAnsi="Arial"/>
          <w:color w:val="000000"/>
          <w:sz w:val="13"/>
        </w:rPr>
        <w:t>amended</w:t>
      </w:r>
    </w:p>
    <w:p>
      <w:pPr>
        <w:pStyle w:val="TextBody"/>
        <w:bidi w:val="0"/>
        <w:spacing w:before="23" w:after="283"/>
        <w:jc w:val="left"/>
        <w:rPr>
          <w:rFonts w:ascii="Times New Roman" w:hAnsi="Times New Roman"/>
          <w:sz w:val="20"/>
        </w:rPr>
      </w:pPr>
      <w:r>
        <w:rPr>
          <w:rFonts w:ascii="Arial" w:hAnsi="Arial"/>
          <w:color w:val="000000"/>
          <w:sz w:val="13"/>
        </w:rPr>
        <w:t>(the</w:t>
      </w:r>
      <w:r>
        <w:rPr>
          <w:rFonts w:ascii="Times New Roman" w:hAnsi="Times New Roman"/>
          <w:color w:val="000000"/>
          <w:sz w:val="20"/>
        </w:rPr>
        <w:t xml:space="preserve"> “</w:t>
      </w:r>
      <w:r>
        <w:rPr>
          <w:rFonts w:ascii="Arial" w:hAnsi="Arial"/>
          <w:color w:val="000000"/>
          <w:sz w:val="13"/>
        </w:rPr>
        <w:t>Lease”)</w:t>
      </w:r>
    </w:p>
    <w:p>
      <w:pPr>
        <w:pStyle w:val="TextBody"/>
        <w:bidi w:val="0"/>
        <w:spacing w:before="200" w:after="283"/>
        <w:jc w:val="left"/>
        <w:rPr>
          <w:rFonts w:ascii="Times New Roman" w:hAnsi="Times New Roman"/>
          <w:sz w:val="20"/>
        </w:rPr>
      </w:pPr>
      <w:r>
        <w:rPr>
          <w:rFonts w:ascii="Arial" w:hAnsi="Arial"/>
          <w:color w:val="000000"/>
          <w:sz w:val="13"/>
        </w:rPr>
        <w:t>Pursuant</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the</w:t>
      </w:r>
      <w:r>
        <w:rPr>
          <w:rFonts w:ascii="Times New Roman" w:hAnsi="Times New Roman"/>
          <w:color w:val="000000"/>
          <w:sz w:val="20"/>
        </w:rPr>
        <w:t xml:space="preserve"> </w:t>
      </w:r>
      <w:r>
        <w:rPr>
          <w:rFonts w:ascii="Arial" w:hAnsi="Arial"/>
          <w:color w:val="000000"/>
          <w:sz w:val="13"/>
        </w:rPr>
        <w:t>Lease,</w:t>
      </w:r>
      <w:r>
        <w:rPr>
          <w:rFonts w:ascii="Times New Roman" w:hAnsi="Times New Roman"/>
          <w:color w:val="000000"/>
          <w:sz w:val="20"/>
        </w:rPr>
        <w:t xml:space="preserve"> </w:t>
      </w: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has</w:t>
      </w:r>
      <w:r>
        <w:rPr>
          <w:rFonts w:ascii="Times New Roman" w:hAnsi="Times New Roman"/>
          <w:color w:val="000000"/>
          <w:sz w:val="20"/>
        </w:rPr>
        <w:t xml:space="preserve"> </w:t>
      </w:r>
      <w:r>
        <w:rPr>
          <w:rFonts w:ascii="Arial" w:hAnsi="Arial"/>
          <w:color w:val="000000"/>
          <w:sz w:val="13"/>
        </w:rPr>
        <w:t>requested</w:t>
      </w:r>
      <w:r>
        <w:rPr>
          <w:rFonts w:ascii="Times New Roman" w:hAnsi="Times New Roman"/>
          <w:color w:val="000000"/>
          <w:sz w:val="20"/>
        </w:rPr>
        <w:t xml:space="preserve"> </w:t>
      </w:r>
      <w:r>
        <w:rPr>
          <w:rFonts w:ascii="Arial" w:hAnsi="Arial"/>
          <w:color w:val="000000"/>
          <w:sz w:val="13"/>
        </w:rPr>
        <w:t>modifications</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the</w:t>
      </w:r>
      <w:r>
        <w:rPr>
          <w:rFonts w:ascii="Times New Roman" w:hAnsi="Times New Roman"/>
          <w:color w:val="000000"/>
          <w:sz w:val="20"/>
        </w:rPr>
        <w:t xml:space="preserve"> </w:t>
      </w:r>
      <w:r>
        <w:rPr>
          <w:rFonts w:ascii="Arial" w:hAnsi="Arial"/>
          <w:color w:val="000000"/>
          <w:sz w:val="13"/>
        </w:rPr>
        <w:t>Base</w:t>
      </w:r>
      <w:r>
        <w:rPr>
          <w:rFonts w:ascii="Times New Roman" w:hAnsi="Times New Roman"/>
          <w:color w:val="000000"/>
          <w:sz w:val="20"/>
        </w:rPr>
        <w:t xml:space="preserve"> </w:t>
      </w:r>
      <w:r>
        <w:rPr>
          <w:rFonts w:ascii="Arial" w:hAnsi="Arial"/>
          <w:color w:val="000000"/>
          <w:sz w:val="13"/>
        </w:rPr>
        <w:t>Building</w:t>
      </w:r>
      <w:r>
        <w:rPr>
          <w:rFonts w:ascii="Times New Roman" w:hAnsi="Times New Roman"/>
          <w:color w:val="000000"/>
          <w:sz w:val="20"/>
        </w:rPr>
        <w:t xml:space="preserve"> </w:t>
      </w:r>
      <w:r>
        <w:rPr>
          <w:rFonts w:ascii="Arial" w:hAnsi="Arial"/>
          <w:color w:val="000000"/>
          <w:sz w:val="13"/>
        </w:rPr>
        <w:t>Plans</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Specifications</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accomodate</w:t>
      </w:r>
      <w:r>
        <w:rPr>
          <w:rFonts w:ascii="Times New Roman" w:hAnsi="Times New Roman"/>
          <w:color w:val="000000"/>
          <w:sz w:val="20"/>
        </w:rPr>
        <w:t xml:space="preserve"> </w:t>
      </w:r>
      <w:r>
        <w:rPr>
          <w:rFonts w:ascii="Arial" w:hAnsi="Arial"/>
          <w:color w:val="000000"/>
          <w:sz w:val="13"/>
        </w:rPr>
        <w:t>Tenant's</w:t>
      </w:r>
      <w:r>
        <w:rPr>
          <w:rFonts w:ascii="Times New Roman" w:hAnsi="Times New Roman"/>
          <w:color w:val="000000"/>
          <w:sz w:val="20"/>
        </w:rPr>
        <w:t xml:space="preserve"> </w:t>
      </w:r>
      <w:r>
        <w:rPr>
          <w:rFonts w:ascii="Arial" w:hAnsi="Arial"/>
          <w:color w:val="000000"/>
          <w:sz w:val="13"/>
        </w:rPr>
        <w:t>design</w:t>
      </w:r>
      <w:r>
        <w:rPr>
          <w:rFonts w:ascii="Times New Roman" w:hAnsi="Times New Roman"/>
          <w:color w:val="000000"/>
          <w:sz w:val="20"/>
        </w:rPr>
        <w:t xml:space="preserve"> </w:t>
      </w:r>
      <w:r>
        <w:rPr>
          <w:rFonts w:ascii="Arial" w:hAnsi="Arial"/>
          <w:color w:val="000000"/>
          <w:sz w:val="13"/>
        </w:rPr>
        <w:t>of</w:t>
      </w:r>
      <w:r>
        <w:rPr>
          <w:rFonts w:ascii="Times New Roman" w:hAnsi="Times New Roman"/>
          <w:color w:val="000000"/>
          <w:sz w:val="20"/>
        </w:rPr>
        <w:t xml:space="preserve"> </w:t>
      </w:r>
      <w:r>
        <w:rPr>
          <w:rFonts w:ascii="Arial" w:hAnsi="Arial"/>
          <w:color w:val="000000"/>
          <w:sz w:val="13"/>
        </w:rPr>
        <w:t>Tenant's</w:t>
      </w:r>
      <w:r>
        <w:rPr>
          <w:rFonts w:ascii="Times New Roman" w:hAnsi="Times New Roman"/>
          <w:color w:val="000000"/>
          <w:sz w:val="20"/>
        </w:rPr>
        <w:t xml:space="preserve"> </w:t>
      </w:r>
      <w:r>
        <w:rPr>
          <w:rFonts w:ascii="Arial" w:hAnsi="Arial"/>
          <w:color w:val="000000"/>
          <w:sz w:val="13"/>
        </w:rPr>
        <w:t>Work,</w:t>
      </w:r>
      <w:r>
        <w:rPr>
          <w:rFonts w:ascii="Times New Roman" w:hAnsi="Times New Roman"/>
          <w:color w:val="000000"/>
          <w:sz w:val="20"/>
        </w:rPr>
        <w:t xml:space="preserve"> </w:t>
      </w:r>
      <w:r>
        <w:rPr>
          <w:rFonts w:ascii="Arial" w:hAnsi="Arial"/>
          <w:color w:val="000000"/>
          <w:sz w:val="13"/>
        </w:rPr>
        <w:t>which</w:t>
      </w:r>
      <w:r>
        <w:rPr>
          <w:rFonts w:ascii="Times New Roman" w:hAnsi="Times New Roman"/>
          <w:color w:val="000000"/>
          <w:sz w:val="20"/>
        </w:rPr>
        <w:t xml:space="preserve"> </w:t>
      </w:r>
      <w:r>
        <w:rPr>
          <w:rFonts w:ascii="Arial" w:hAnsi="Arial"/>
          <w:color w:val="000000"/>
          <w:sz w:val="13"/>
        </w:rPr>
        <w:t>request</w:t>
      </w:r>
      <w:r>
        <w:rPr>
          <w:rFonts w:ascii="Times New Roman" w:hAnsi="Times New Roman"/>
          <w:color w:val="000000"/>
          <w:sz w:val="20"/>
        </w:rPr>
        <w:t xml:space="preserve"> </w:t>
      </w:r>
      <w:r>
        <w:rPr>
          <w:rFonts w:ascii="Arial" w:hAnsi="Arial"/>
          <w:color w:val="000000"/>
          <w:sz w:val="13"/>
        </w:rPr>
        <w:t>requires</w:t>
      </w:r>
      <w:r>
        <w:rPr>
          <w:rFonts w:ascii="Times New Roman" w:hAnsi="Times New Roman"/>
          <w:color w:val="000000"/>
          <w:sz w:val="20"/>
        </w:rPr>
        <w:t xml:space="preserve"> </w:t>
      </w:r>
      <w:r>
        <w:rPr>
          <w:rFonts w:ascii="Arial" w:hAnsi="Arial"/>
          <w:color w:val="000000"/>
          <w:sz w:val="13"/>
        </w:rPr>
        <w:t>this</w:t>
      </w:r>
      <w:r>
        <w:rPr>
          <w:rFonts w:ascii="Times New Roman" w:hAnsi="Times New Roman"/>
          <w:color w:val="000000"/>
          <w:sz w:val="20"/>
        </w:rPr>
        <w:t xml:space="preserve"> </w:t>
      </w:r>
      <w:r>
        <w:rPr>
          <w:rFonts w:ascii="Arial" w:hAnsi="Arial"/>
          <w:color w:val="000000"/>
          <w:sz w:val="13"/>
        </w:rPr>
        <w:t>change</w:t>
      </w:r>
      <w:r>
        <w:rPr>
          <w:rFonts w:ascii="Times New Roman" w:hAnsi="Times New Roman"/>
          <w:color w:val="000000"/>
          <w:sz w:val="20"/>
        </w:rPr>
        <w:t xml:space="preserve"> </w:t>
      </w:r>
      <w:r>
        <w:rPr>
          <w:rFonts w:ascii="Arial" w:hAnsi="Arial"/>
          <w:color w:val="000000"/>
          <w:sz w:val="13"/>
        </w:rPr>
        <w:t>order</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such</w:t>
      </w:r>
      <w:r>
        <w:rPr>
          <w:rFonts w:ascii="Times New Roman" w:hAnsi="Times New Roman"/>
          <w:color w:val="000000"/>
          <w:sz w:val="20"/>
        </w:rPr>
        <w:t xml:space="preserve"> </w:t>
      </w:r>
      <w:r>
        <w:rPr>
          <w:rFonts w:ascii="Arial" w:hAnsi="Arial"/>
          <w:color w:val="000000"/>
          <w:sz w:val="13"/>
        </w:rPr>
        <w:t>plans</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specifications.</w:t>
      </w:r>
      <w:r>
        <w:rPr>
          <w:rFonts w:ascii="Times New Roman" w:hAnsi="Times New Roman"/>
          <w:color w:val="000000"/>
          <w:sz w:val="20"/>
        </w:rPr>
        <w:t xml:space="preserve"> </w:t>
      </w:r>
      <w:r>
        <w:rPr>
          <w:rFonts w:ascii="Arial" w:hAnsi="Arial"/>
          <w:color w:val="000000"/>
          <w:sz w:val="13"/>
        </w:rPr>
        <w:t>The</w:t>
      </w:r>
      <w:r>
        <w:rPr>
          <w:rFonts w:ascii="Times New Roman" w:hAnsi="Times New Roman"/>
          <w:color w:val="000000"/>
          <w:sz w:val="20"/>
        </w:rPr>
        <w:t xml:space="preserve"> </w:t>
      </w:r>
      <w:r>
        <w:rPr>
          <w:rFonts w:ascii="Arial" w:hAnsi="Arial"/>
          <w:color w:val="000000"/>
          <w:sz w:val="13"/>
        </w:rPr>
        <w:t>work</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be</w:t>
      </w:r>
      <w:r>
        <w:rPr>
          <w:rFonts w:ascii="Times New Roman" w:hAnsi="Times New Roman"/>
          <w:color w:val="000000"/>
          <w:sz w:val="20"/>
        </w:rPr>
        <w:t xml:space="preserve"> </w:t>
      </w:r>
      <w:r>
        <w:rPr>
          <w:rFonts w:ascii="Arial" w:hAnsi="Arial"/>
          <w:color w:val="000000"/>
          <w:sz w:val="13"/>
        </w:rPr>
        <w:t>performed</w:t>
      </w:r>
      <w:r>
        <w:rPr>
          <w:rFonts w:ascii="Times New Roman" w:hAnsi="Times New Roman"/>
          <w:color w:val="000000"/>
          <w:sz w:val="20"/>
        </w:rPr>
        <w:t xml:space="preserve"> </w:t>
      </w:r>
      <w:r>
        <w:rPr>
          <w:rFonts w:ascii="Arial" w:hAnsi="Arial"/>
          <w:color w:val="000000"/>
          <w:sz w:val="13"/>
        </w:rPr>
        <w:t>as</w:t>
      </w:r>
      <w:r>
        <w:rPr>
          <w:rFonts w:ascii="Times New Roman" w:hAnsi="Times New Roman"/>
          <w:color w:val="000000"/>
          <w:sz w:val="20"/>
        </w:rPr>
        <w:t xml:space="preserve"> </w:t>
      </w:r>
      <w:r>
        <w:rPr>
          <w:rFonts w:ascii="Arial" w:hAnsi="Arial"/>
          <w:color w:val="000000"/>
          <w:sz w:val="13"/>
        </w:rPr>
        <w:t>a</w:t>
      </w:r>
      <w:r>
        <w:rPr>
          <w:rFonts w:ascii="Times New Roman" w:hAnsi="Times New Roman"/>
          <w:color w:val="000000"/>
          <w:sz w:val="20"/>
        </w:rPr>
        <w:t xml:space="preserve"> </w:t>
      </w:r>
      <w:r>
        <w:rPr>
          <w:rFonts w:ascii="Arial" w:hAnsi="Arial"/>
          <w:color w:val="000000"/>
          <w:sz w:val="13"/>
        </w:rPr>
        <w:t>result</w:t>
      </w:r>
      <w:r>
        <w:rPr>
          <w:rFonts w:ascii="Times New Roman" w:hAnsi="Times New Roman"/>
          <w:color w:val="000000"/>
          <w:sz w:val="20"/>
        </w:rPr>
        <w:t xml:space="preserve"> </w:t>
      </w:r>
      <w:r>
        <w:rPr>
          <w:rFonts w:ascii="Arial" w:hAnsi="Arial"/>
          <w:color w:val="000000"/>
          <w:sz w:val="13"/>
        </w:rPr>
        <w:t>of</w:t>
      </w:r>
      <w:r>
        <w:rPr>
          <w:rFonts w:ascii="Times New Roman" w:hAnsi="Times New Roman"/>
          <w:color w:val="000000"/>
          <w:sz w:val="20"/>
        </w:rPr>
        <w:t xml:space="preserve"> </w:t>
      </w:r>
      <w:r>
        <w:rPr>
          <w:rFonts w:ascii="Arial" w:hAnsi="Arial"/>
          <w:color w:val="000000"/>
          <w:sz w:val="13"/>
        </w:rPr>
        <w:t>this</w:t>
      </w:r>
      <w:r>
        <w:rPr>
          <w:rFonts w:ascii="Times New Roman" w:hAnsi="Times New Roman"/>
          <w:color w:val="000000"/>
          <w:sz w:val="20"/>
        </w:rPr>
        <w:t xml:space="preserve"> </w:t>
      </w:r>
      <w:r>
        <w:rPr>
          <w:rFonts w:ascii="Arial" w:hAnsi="Arial"/>
          <w:color w:val="000000"/>
          <w:sz w:val="13"/>
        </w:rPr>
        <w:t>change</w:t>
      </w:r>
      <w:r>
        <w:rPr>
          <w:rFonts w:ascii="Times New Roman" w:hAnsi="Times New Roman"/>
          <w:color w:val="000000"/>
          <w:sz w:val="20"/>
        </w:rPr>
        <w:t xml:space="preserve"> </w:t>
      </w:r>
      <w:r>
        <w:rPr>
          <w:rFonts w:ascii="Arial" w:hAnsi="Arial"/>
          <w:color w:val="000000"/>
          <w:sz w:val="13"/>
        </w:rPr>
        <w:t>order</w:t>
      </w:r>
      <w:r>
        <w:rPr>
          <w:rFonts w:ascii="Times New Roman" w:hAnsi="Times New Roman"/>
          <w:color w:val="000000"/>
          <w:sz w:val="20"/>
        </w:rPr>
        <w:t xml:space="preserve"> </w:t>
      </w:r>
      <w:r>
        <w:rPr>
          <w:rFonts w:ascii="Arial" w:hAnsi="Arial"/>
          <w:color w:val="000000"/>
          <w:sz w:val="13"/>
        </w:rPr>
        <w:t>is</w:t>
      </w:r>
      <w:r>
        <w:rPr>
          <w:rFonts w:ascii="Times New Roman" w:hAnsi="Times New Roman"/>
          <w:color w:val="000000"/>
          <w:sz w:val="20"/>
        </w:rPr>
        <w:t xml:space="preserve"> </w:t>
      </w:r>
      <w:r>
        <w:rPr>
          <w:rFonts w:ascii="Arial" w:hAnsi="Arial"/>
          <w:color w:val="000000"/>
          <w:sz w:val="13"/>
        </w:rPr>
        <w:t>summarized</w:t>
      </w:r>
      <w:r>
        <w:rPr>
          <w:rFonts w:ascii="Times New Roman" w:hAnsi="Times New Roman"/>
          <w:color w:val="000000"/>
          <w:sz w:val="20"/>
        </w:rPr>
        <w:t xml:space="preserve"> </w:t>
      </w:r>
      <w:r>
        <w:rPr>
          <w:rFonts w:ascii="Arial" w:hAnsi="Arial"/>
          <w:color w:val="000000"/>
          <w:sz w:val="13"/>
        </w:rPr>
        <w:t>as</w:t>
      </w:r>
      <w:r>
        <w:rPr>
          <w:rFonts w:ascii="Times New Roman" w:hAnsi="Times New Roman"/>
          <w:color w:val="000000"/>
          <w:sz w:val="20"/>
        </w:rPr>
        <w:t xml:space="preserve"> </w:t>
      </w:r>
      <w:r>
        <w:rPr>
          <w:rFonts w:ascii="Arial" w:hAnsi="Arial"/>
          <w:color w:val="000000"/>
          <w:sz w:val="13"/>
        </w:rPr>
        <w:t>follows</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described</w:t>
      </w:r>
      <w:r>
        <w:rPr>
          <w:rFonts w:ascii="Times New Roman" w:hAnsi="Times New Roman"/>
          <w:color w:val="000000"/>
          <w:sz w:val="20"/>
        </w:rPr>
        <w:t xml:space="preserve"> </w:t>
      </w:r>
      <w:r>
        <w:rPr>
          <w:rFonts w:ascii="Arial" w:hAnsi="Arial"/>
          <w:color w:val="000000"/>
          <w:sz w:val="13"/>
        </w:rPr>
        <w:t>in</w:t>
      </w:r>
      <w:r>
        <w:rPr>
          <w:rFonts w:ascii="Times New Roman" w:hAnsi="Times New Roman"/>
          <w:color w:val="000000"/>
          <w:sz w:val="20"/>
        </w:rPr>
        <w:t xml:space="preserve"> </w:t>
      </w:r>
      <w:r>
        <w:rPr>
          <w:rFonts w:ascii="Arial" w:hAnsi="Arial"/>
          <w:color w:val="000000"/>
          <w:sz w:val="13"/>
        </w:rPr>
        <w:t>more</w:t>
      </w:r>
      <w:r>
        <w:rPr>
          <w:rFonts w:ascii="Times New Roman" w:hAnsi="Times New Roman"/>
          <w:color w:val="000000"/>
          <w:sz w:val="20"/>
        </w:rPr>
        <w:t xml:space="preserve"> </w:t>
      </w:r>
      <w:r>
        <w:rPr>
          <w:rFonts w:ascii="Arial" w:hAnsi="Arial"/>
          <w:color w:val="000000"/>
          <w:sz w:val="13"/>
        </w:rPr>
        <w:t>detail</w:t>
      </w:r>
      <w:r>
        <w:rPr>
          <w:rFonts w:ascii="Times New Roman" w:hAnsi="Times New Roman"/>
          <w:color w:val="000000"/>
          <w:sz w:val="20"/>
        </w:rPr>
        <w:t xml:space="preserve"> </w:t>
      </w:r>
      <w:r>
        <w:rPr>
          <w:rFonts w:ascii="Arial" w:hAnsi="Arial"/>
          <w:color w:val="000000"/>
          <w:sz w:val="13"/>
        </w:rPr>
        <w:t>on</w:t>
      </w:r>
      <w:r>
        <w:rPr>
          <w:rFonts w:ascii="Times New Roman" w:hAnsi="Times New Roman"/>
          <w:color w:val="000000"/>
          <w:sz w:val="20"/>
        </w:rPr>
        <w:t xml:space="preserve"> </w:t>
      </w:r>
      <w:r>
        <w:rPr>
          <w:rFonts w:ascii="Arial" w:hAnsi="Arial"/>
          <w:color w:val="000000"/>
          <w:sz w:val="13"/>
        </w:rPr>
        <w:t>Exhibit</w:t>
      </w:r>
      <w:r>
        <w:rPr>
          <w:rFonts w:ascii="Times New Roman" w:hAnsi="Times New Roman"/>
          <w:color w:val="000000"/>
          <w:sz w:val="20"/>
        </w:rPr>
        <w:t xml:space="preserve"> </w:t>
      </w:r>
      <w:r>
        <w:rPr>
          <w:rFonts w:ascii="Arial" w:hAnsi="Arial"/>
          <w:color w:val="000000"/>
          <w:sz w:val="13"/>
        </w:rPr>
        <w:t>A</w:t>
      </w:r>
      <w:r>
        <w:rPr>
          <w:rFonts w:ascii="Times New Roman" w:hAnsi="Times New Roman"/>
          <w:color w:val="000000"/>
          <w:sz w:val="20"/>
        </w:rPr>
        <w:t xml:space="preserve"> </w:t>
      </w:r>
      <w:r>
        <w:rPr>
          <w:rFonts w:ascii="Arial" w:hAnsi="Arial"/>
          <w:color w:val="000000"/>
          <w:sz w:val="13"/>
        </w:rPr>
        <w:t>attached</w:t>
      </w:r>
      <w:r>
        <w:rPr>
          <w:rFonts w:ascii="Times New Roman" w:hAnsi="Times New Roman"/>
          <w:color w:val="000000"/>
          <w:sz w:val="20"/>
        </w:rPr>
        <w:t xml:space="preserve"> </w:t>
      </w:r>
      <w:r>
        <w:rPr>
          <w:rFonts w:ascii="Arial" w:hAnsi="Arial"/>
          <w:color w:val="000000"/>
          <w:sz w:val="13"/>
        </w:rPr>
        <w:t>hereto:</w:t>
      </w:r>
    </w:p>
    <w:p>
      <w:pPr>
        <w:pStyle w:val="TextBody"/>
        <w:bidi w:val="0"/>
        <w:spacing w:before="5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07"/>
        <w:gridCol w:w="1283"/>
        <w:gridCol w:w="6519"/>
        <w:gridCol w:w="996"/>
        <w:gridCol w:w="700"/>
      </w:tblGrid>
      <w:tr>
        <w:trPr/>
        <w:tc>
          <w:tcPr>
            <w:tcW w:w="70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5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707" w:type="dxa"/>
            <w:tcBorders>
              <w:top w:val="single" w:sz="6" w:space="0" w:color="000000"/>
              <w:left w:val="single" w:sz="6" w:space="0" w:color="000000"/>
              <w:bottom w:val="single" w:sz="6" w:space="0" w:color="000000"/>
            </w:tcBorders>
            <w:shd w:fill="D0CECE" w:val="clear"/>
            <w:tcMar>
              <w:right w:w="0" w:type="dxa"/>
            </w:tcMar>
            <w:vAlign w:val="center"/>
          </w:tcPr>
          <w:p>
            <w:pPr>
              <w:pStyle w:val="TableContents"/>
              <w:bidi w:val="0"/>
              <w:spacing w:before="0" w:after="283"/>
              <w:ind w:left="0" w:right="0" w:firstLine="286"/>
              <w:jc w:val="center"/>
              <w:rPr>
                <w:rFonts w:ascii="Arial" w:hAnsi="Arial"/>
                <w:color w:val="000000"/>
                <w:sz w:val="15"/>
              </w:rPr>
            </w:pPr>
            <w:r>
              <w:rPr>
                <w:rFonts w:ascii="Arial" w:hAnsi="Arial"/>
                <w:color w:val="000000"/>
                <w:sz w:val="15"/>
              </w:rPr>
              <w:t>Item</w:t>
            </w:r>
          </w:p>
        </w:tc>
        <w:tc>
          <w:tcPr>
            <w:tcW w:w="7802" w:type="dxa"/>
            <w:gridSpan w:val="2"/>
            <w:tcBorders>
              <w:top w:val="single" w:sz="6" w:space="0" w:color="000000"/>
              <w:bottom w:val="single" w:sz="6" w:space="0" w:color="000000"/>
            </w:tcBorders>
            <w:shd w:fill="D0CECE" w:val="clear"/>
            <w:tcMar>
              <w:left w:w="0" w:type="dxa"/>
              <w:right w:w="0" w:type="dxa"/>
            </w:tcMar>
            <w:vAlign w:val="center"/>
          </w:tcPr>
          <w:p>
            <w:pPr>
              <w:pStyle w:val="TableContents"/>
              <w:bidi w:val="0"/>
              <w:spacing w:before="0" w:after="283"/>
              <w:ind w:left="0" w:right="0" w:firstLine="336"/>
              <w:jc w:val="left"/>
              <w:rPr>
                <w:rFonts w:ascii="Arial" w:hAnsi="Arial"/>
                <w:color w:val="000000"/>
                <w:sz w:val="15"/>
              </w:rPr>
            </w:pPr>
            <w:r>
              <w:rPr>
                <w:rFonts w:ascii="Arial" w:hAnsi="Arial"/>
                <w:color w:val="000000"/>
                <w:sz w:val="15"/>
              </w:rPr>
              <w:t>Description</w:t>
            </w:r>
          </w:p>
        </w:tc>
        <w:tc>
          <w:tcPr>
            <w:tcW w:w="996" w:type="dxa"/>
            <w:tcBorders>
              <w:top w:val="single" w:sz="6" w:space="0" w:color="000000"/>
              <w:bottom w:val="single" w:sz="6" w:space="0" w:color="000000"/>
              <w:right w:val="single" w:sz="6" w:space="0" w:color="000000"/>
            </w:tcBorders>
            <w:shd w:fill="D0CECE" w:val="clear"/>
            <w:tcMar>
              <w:left w:w="0" w:type="dxa"/>
            </w:tcMar>
            <w:vAlign w:val="center"/>
          </w:tcPr>
          <w:p>
            <w:pPr>
              <w:pStyle w:val="TableContents"/>
              <w:bidi w:val="0"/>
              <w:spacing w:before="0" w:after="283"/>
              <w:ind w:left="336" w:right="0" w:firstLine="336"/>
              <w:jc w:val="left"/>
              <w:rPr>
                <w:rFonts w:ascii="Arial" w:hAnsi="Arial"/>
                <w:color w:val="000000"/>
                <w:sz w:val="15"/>
              </w:rPr>
            </w:pPr>
            <w:r>
              <w:rPr>
                <w:rFonts w:ascii="Arial" w:hAnsi="Arial"/>
                <w:color w:val="000000"/>
                <w:sz w:val="15"/>
              </w:rPr>
              <w:t>Amount</w:t>
            </w:r>
          </w:p>
        </w:tc>
        <w:tc>
          <w:tcPr>
            <w:tcW w:w="700" w:type="dxa"/>
            <w:tcBorders>
              <w:top w:val="single" w:sz="6" w:space="0" w:color="000000"/>
            </w:tcBorders>
            <w:tcMar>
              <w:left w:w="0" w:type="dxa"/>
              <w:bottom w:w="0" w:type="dxa"/>
              <w:right w:w="0" w:type="dxa"/>
            </w:tcMar>
            <w:vAlign w:val="center"/>
          </w:tcPr>
          <w:p>
            <w:pPr>
              <w:pStyle w:val="TableContents"/>
              <w:bidi w:val="0"/>
              <w:spacing w:before="0" w:after="283"/>
              <w:ind w:left="336" w:right="0" w:hanging="0"/>
              <w:jc w:val="left"/>
              <w:rPr/>
            </w:pPr>
            <w:r>
              <w:rPr/>
              <w:t> </w:t>
            </w:r>
          </w:p>
        </w:tc>
      </w:tr>
      <w:tr>
        <w:trPr/>
        <w:tc>
          <w:tcPr>
            <w:tcW w:w="707" w:type="dxa"/>
            <w:tcBorders>
              <w:left w:val="single" w:sz="6" w:space="0" w:color="000000"/>
              <w:bottom w:val="single" w:sz="6" w:space="0" w:color="ADA9A9"/>
            </w:tcBorders>
            <w:tcMar>
              <w:top w:w="0" w:type="dxa"/>
              <w:right w:w="0" w:type="dxa"/>
            </w:tcMar>
            <w:vAlign w:val="center"/>
          </w:tcPr>
          <w:p>
            <w:pPr>
              <w:pStyle w:val="TableContents"/>
              <w:bidi w:val="0"/>
              <w:spacing w:before="74" w:after="283"/>
              <w:ind w:left="0" w:right="0" w:firstLine="291"/>
              <w:jc w:val="center"/>
              <w:rPr>
                <w:rFonts w:ascii="Arial" w:hAnsi="Arial"/>
                <w:color w:val="000000"/>
                <w:sz w:val="15"/>
              </w:rPr>
            </w:pPr>
            <w:r>
              <w:rPr>
                <w:rFonts w:ascii="Arial" w:hAnsi="Arial"/>
                <w:color w:val="000000"/>
                <w:sz w:val="15"/>
              </w:rPr>
              <w:t>1</w:t>
            </w:r>
          </w:p>
        </w:tc>
        <w:tc>
          <w:tcPr>
            <w:tcW w:w="7802" w:type="dxa"/>
            <w:gridSpan w:val="2"/>
            <w:tcBorders>
              <w:bottom w:val="single" w:sz="6" w:space="0" w:color="ADA9A9"/>
            </w:tcBorders>
            <w:tcMar>
              <w:top w:w="0" w:type="dxa"/>
              <w:left w:w="0" w:type="dxa"/>
              <w:right w:w="0" w:type="dxa"/>
            </w:tcMar>
            <w:vAlign w:val="center"/>
          </w:tcPr>
          <w:p>
            <w:pPr>
              <w:pStyle w:val="TableContents"/>
              <w:bidi w:val="0"/>
              <w:spacing w:before="74" w:after="283"/>
              <w:ind w:left="291" w:right="0" w:firstLine="291"/>
              <w:jc w:val="left"/>
              <w:rPr>
                <w:rFonts w:ascii="Times New Roman" w:hAnsi="Times New Roman"/>
                <w:sz w:val="16"/>
              </w:rPr>
            </w:pPr>
            <w:r>
              <w:rPr>
                <w:rFonts w:ascii="Arial" w:hAnsi="Arial"/>
                <w:color w:val="000000"/>
                <w:sz w:val="16"/>
                <w:u w:val="single"/>
              </w:rPr>
              <w:t>Landlord</w:t>
            </w:r>
            <w:r>
              <w:rPr>
                <w:rFonts w:ascii="Times New Roman" w:hAnsi="Times New Roman"/>
                <w:color w:val="000000"/>
                <w:sz w:val="16"/>
                <w:u w:val="single"/>
              </w:rPr>
              <w:t xml:space="preserve"> </w:t>
            </w:r>
            <w:r>
              <w:rPr>
                <w:rFonts w:ascii="Arial" w:hAnsi="Arial"/>
                <w:color w:val="000000"/>
                <w:sz w:val="16"/>
                <w:u w:val="single"/>
              </w:rPr>
              <w:t>Credit</w:t>
            </w:r>
            <w:r>
              <w:rPr>
                <w:rFonts w:ascii="Times New Roman" w:hAnsi="Times New Roman"/>
                <w:color w:val="000000"/>
                <w:sz w:val="16"/>
                <w:u w:val="single"/>
              </w:rPr>
              <w:t xml:space="preserve"> </w:t>
            </w:r>
            <w:r>
              <w:rPr>
                <w:rFonts w:ascii="Arial" w:hAnsi="Arial"/>
                <w:color w:val="000000"/>
                <w:sz w:val="16"/>
                <w:u w:val="single"/>
              </w:rPr>
              <w:t>for</w:t>
            </w:r>
            <w:r>
              <w:rPr>
                <w:rFonts w:ascii="Times New Roman" w:hAnsi="Times New Roman"/>
                <w:color w:val="000000"/>
                <w:sz w:val="16"/>
                <w:u w:val="single"/>
              </w:rPr>
              <w:t xml:space="preserve"> </w:t>
            </w:r>
            <w:r>
              <w:rPr>
                <w:rFonts w:ascii="Arial" w:hAnsi="Arial"/>
                <w:color w:val="000000"/>
                <w:sz w:val="16"/>
                <w:u w:val="single"/>
              </w:rPr>
              <w:t>GWB</w:t>
            </w:r>
            <w:r>
              <w:rPr>
                <w:rFonts w:ascii="Times New Roman" w:hAnsi="Times New Roman"/>
                <w:color w:val="000000"/>
                <w:sz w:val="16"/>
                <w:u w:val="single"/>
              </w:rPr>
              <w:t xml:space="preserve"> </w:t>
            </w:r>
            <w:r>
              <w:rPr>
                <w:rFonts w:ascii="Arial" w:hAnsi="Arial"/>
                <w:color w:val="000000"/>
                <w:sz w:val="16"/>
                <w:u w:val="single"/>
              </w:rPr>
              <w:t>enclosures.</w:t>
            </w:r>
            <w:r>
              <w:rPr>
                <w:rFonts w:ascii="Times New Roman" w:hAnsi="Times New Roman"/>
                <w:color w:val="000000"/>
                <w:sz w:val="16"/>
                <w:u w:val="single"/>
              </w:rPr>
              <w:t xml:space="preserve"> </w:t>
            </w:r>
            <w:r>
              <w:rPr>
                <w:rFonts w:ascii="Arial" w:hAnsi="Arial"/>
                <w:color w:val="000000"/>
                <w:sz w:val="16"/>
                <w:u w:val="single"/>
              </w:rPr>
              <w:t>GWB</w:t>
            </w:r>
            <w:r>
              <w:rPr>
                <w:rFonts w:ascii="Times New Roman" w:hAnsi="Times New Roman"/>
                <w:color w:val="000000"/>
                <w:sz w:val="16"/>
                <w:u w:val="single"/>
              </w:rPr>
              <w:t xml:space="preserve"> </w:t>
            </w:r>
            <w:r>
              <w:rPr>
                <w:rFonts w:ascii="Arial" w:hAnsi="Arial"/>
                <w:color w:val="000000"/>
                <w:sz w:val="16"/>
                <w:u w:val="single"/>
              </w:rPr>
              <w:t>at</w:t>
            </w:r>
            <w:r>
              <w:rPr>
                <w:rFonts w:ascii="Times New Roman" w:hAnsi="Times New Roman"/>
                <w:color w:val="000000"/>
                <w:sz w:val="16"/>
                <w:u w:val="single"/>
              </w:rPr>
              <w:t xml:space="preserve"> </w:t>
            </w:r>
            <w:r>
              <w:rPr>
                <w:rFonts w:ascii="Arial" w:hAnsi="Arial"/>
                <w:color w:val="000000"/>
                <w:sz w:val="16"/>
                <w:u w:val="single"/>
              </w:rPr>
              <w:t>column</w:t>
            </w:r>
            <w:r>
              <w:rPr>
                <w:rFonts w:ascii="Times New Roman" w:hAnsi="Times New Roman"/>
                <w:color w:val="000000"/>
                <w:sz w:val="16"/>
                <w:u w:val="single"/>
              </w:rPr>
              <w:t xml:space="preserve"> </w:t>
            </w:r>
            <w:r>
              <w:rPr>
                <w:rFonts w:ascii="Arial" w:hAnsi="Arial"/>
                <w:color w:val="000000"/>
                <w:sz w:val="16"/>
                <w:u w:val="single"/>
              </w:rPr>
              <w:t>enclosures</w:t>
            </w:r>
            <w:r>
              <w:rPr>
                <w:rFonts w:ascii="Times New Roman" w:hAnsi="Times New Roman"/>
                <w:color w:val="000000"/>
                <w:sz w:val="16"/>
                <w:u w:val="single"/>
              </w:rPr>
              <w:t xml:space="preserve"> </w:t>
            </w:r>
            <w:r>
              <w:rPr>
                <w:rFonts w:ascii="Arial" w:hAnsi="Arial"/>
                <w:color w:val="000000"/>
                <w:sz w:val="16"/>
                <w:u w:val="single"/>
              </w:rPr>
              <w:t>at</w:t>
            </w:r>
            <w:r>
              <w:rPr>
                <w:rFonts w:ascii="Times New Roman" w:hAnsi="Times New Roman"/>
                <w:color w:val="000000"/>
                <w:sz w:val="16"/>
                <w:u w:val="single"/>
              </w:rPr>
              <w:t xml:space="preserve"> </w:t>
            </w:r>
            <w:r>
              <w:rPr>
                <w:rFonts w:ascii="Arial" w:hAnsi="Arial"/>
                <w:color w:val="000000"/>
                <w:sz w:val="16"/>
                <w:u w:val="single"/>
              </w:rPr>
              <w:t>Base</w:t>
            </w:r>
            <w:r>
              <w:rPr>
                <w:rFonts w:ascii="Times New Roman" w:hAnsi="Times New Roman"/>
                <w:color w:val="000000"/>
                <w:sz w:val="16"/>
                <w:u w:val="single"/>
              </w:rPr>
              <w:t xml:space="preserve"> </w:t>
            </w:r>
            <w:r>
              <w:rPr>
                <w:rFonts w:ascii="Arial" w:hAnsi="Arial"/>
                <w:color w:val="000000"/>
                <w:sz w:val="16"/>
                <w:u w:val="single"/>
              </w:rPr>
              <w:t>Buidling</w:t>
            </w:r>
            <w:r>
              <w:rPr>
                <w:rFonts w:ascii="Times New Roman" w:hAnsi="Times New Roman"/>
                <w:color w:val="000000"/>
                <w:sz w:val="16"/>
                <w:u w:val="single"/>
              </w:rPr>
              <w:t xml:space="preserve"> </w:t>
            </w:r>
            <w:r>
              <w:rPr>
                <w:rFonts w:ascii="Arial" w:hAnsi="Arial"/>
                <w:color w:val="000000"/>
                <w:sz w:val="16"/>
                <w:u w:val="single"/>
              </w:rPr>
              <w:t>risers</w:t>
            </w:r>
            <w:r>
              <w:rPr>
                <w:rFonts w:ascii="Times New Roman" w:hAnsi="Times New Roman"/>
                <w:color w:val="000000"/>
                <w:sz w:val="16"/>
                <w:u w:val="single"/>
              </w:rPr>
              <w:t xml:space="preserve"> </w:t>
            </w:r>
            <w:r>
              <w:rPr>
                <w:rFonts w:ascii="Arial" w:hAnsi="Arial"/>
                <w:color w:val="000000"/>
                <w:sz w:val="16"/>
                <w:u w:val="single"/>
              </w:rPr>
              <w:t>provided</w:t>
            </w:r>
            <w:r>
              <w:rPr>
                <w:rFonts w:ascii="Times New Roman" w:hAnsi="Times New Roman"/>
                <w:color w:val="000000"/>
                <w:sz w:val="16"/>
                <w:u w:val="single"/>
              </w:rPr>
              <w:t xml:space="preserve"> </w:t>
            </w:r>
            <w:r>
              <w:rPr>
                <w:rFonts w:ascii="Arial" w:hAnsi="Arial"/>
                <w:color w:val="000000"/>
                <w:sz w:val="16"/>
                <w:u w:val="single"/>
              </w:rPr>
              <w:t>by</w:t>
            </w:r>
            <w:r>
              <w:rPr>
                <w:rFonts w:ascii="Times New Roman" w:hAnsi="Times New Roman"/>
                <w:color w:val="000000"/>
                <w:sz w:val="16"/>
                <w:u w:val="single"/>
              </w:rPr>
              <w:t xml:space="preserve"> </w:t>
            </w:r>
            <w:r>
              <w:rPr>
                <w:rFonts w:ascii="Arial" w:hAnsi="Arial"/>
                <w:color w:val="000000"/>
                <w:sz w:val="16"/>
                <w:u w:val="single"/>
              </w:rPr>
              <w:t>Tenant</w:t>
            </w:r>
            <w:r>
              <w:rPr>
                <w:rFonts w:ascii="Times New Roman" w:hAnsi="Times New Roman"/>
                <w:color w:val="000000"/>
                <w:sz w:val="16"/>
                <w:u w:val="single"/>
              </w:rPr>
              <w:t xml:space="preserve"> </w:t>
            </w:r>
            <w:r>
              <w:rPr>
                <w:rFonts w:ascii="Arial" w:hAnsi="Arial"/>
                <w:color w:val="000000"/>
                <w:sz w:val="16"/>
                <w:u w:val="single"/>
              </w:rPr>
              <w:t>as</w:t>
            </w:r>
            <w:r>
              <w:rPr>
                <w:rFonts w:ascii="Times New Roman" w:hAnsi="Times New Roman"/>
                <w:color w:val="000000"/>
                <w:sz w:val="16"/>
                <w:u w:val="single"/>
              </w:rPr>
              <w:t xml:space="preserve"> </w:t>
            </w:r>
            <w:r>
              <w:rPr>
                <w:rFonts w:ascii="Arial" w:hAnsi="Arial"/>
                <w:color w:val="000000"/>
                <w:sz w:val="16"/>
                <w:u w:val="single"/>
              </w:rPr>
              <w:t>part</w:t>
            </w:r>
            <w:r>
              <w:rPr>
                <w:rFonts w:ascii="Times New Roman" w:hAnsi="Times New Roman"/>
                <w:color w:val="000000"/>
                <w:sz w:val="16"/>
                <w:u w:val="single"/>
              </w:rPr>
              <w:t xml:space="preserve"> </w:t>
            </w:r>
            <w:r>
              <w:rPr>
                <w:rFonts w:ascii="Arial" w:hAnsi="Arial"/>
                <w:color w:val="000000"/>
                <w:sz w:val="16"/>
                <w:u w:val="single"/>
              </w:rPr>
              <w:t>of</w:t>
            </w:r>
            <w:r>
              <w:rPr>
                <w:rFonts w:ascii="Times New Roman" w:hAnsi="Times New Roman"/>
                <w:color w:val="000000"/>
                <w:sz w:val="16"/>
                <w:u w:val="single"/>
              </w:rPr>
              <w:t xml:space="preserve"> </w:t>
            </w:r>
            <w:r>
              <w:rPr>
                <w:rFonts w:ascii="Arial" w:hAnsi="Arial"/>
                <w:color w:val="000000"/>
                <w:sz w:val="16"/>
                <w:u w:val="single"/>
              </w:rPr>
              <w:t>Tenants</w:t>
            </w:r>
            <w:r>
              <w:rPr>
                <w:rFonts w:ascii="Times New Roman" w:hAnsi="Times New Roman"/>
                <w:color w:val="000000"/>
                <w:sz w:val="16"/>
                <w:u w:val="single"/>
              </w:rPr>
              <w:t xml:space="preserve"> </w:t>
            </w:r>
            <w:r>
              <w:rPr>
                <w:rFonts w:ascii="Arial" w:hAnsi="Arial"/>
                <w:color w:val="000000"/>
                <w:sz w:val="16"/>
                <w:u w:val="single"/>
              </w:rPr>
              <w:t>Interior</w:t>
            </w:r>
            <w:r>
              <w:rPr>
                <w:rFonts w:ascii="Times New Roman" w:hAnsi="Times New Roman"/>
                <w:color w:val="000000"/>
                <w:sz w:val="16"/>
                <w:u w:val="single"/>
              </w:rPr>
              <w:t xml:space="preserve"> </w:t>
            </w:r>
            <w:r>
              <w:rPr>
                <w:rFonts w:ascii="Arial" w:hAnsi="Arial"/>
                <w:color w:val="000000"/>
                <w:sz w:val="16"/>
                <w:u w:val="single"/>
              </w:rPr>
              <w:t>fit-out</w:t>
            </w:r>
            <w:r>
              <w:rPr>
                <w:rFonts w:ascii="Times New Roman" w:hAnsi="Times New Roman"/>
                <w:color w:val="000000"/>
                <w:sz w:val="16"/>
                <w:u w:val="single"/>
              </w:rPr>
              <w:t xml:space="preserve"> </w:t>
            </w:r>
            <w:r>
              <w:rPr>
                <w:rFonts w:ascii="Arial" w:hAnsi="Arial"/>
                <w:color w:val="000000"/>
                <w:sz w:val="16"/>
                <w:u w:val="single"/>
              </w:rPr>
              <w:t>per</w:t>
            </w:r>
            <w:r>
              <w:rPr>
                <w:rFonts w:ascii="Times New Roman" w:hAnsi="Times New Roman"/>
                <w:color w:val="000000"/>
                <w:sz w:val="16"/>
                <w:u w:val="single"/>
              </w:rPr>
              <w:t xml:space="preserve"> </w:t>
            </w:r>
            <w:r>
              <w:rPr>
                <w:rFonts w:ascii="Arial" w:hAnsi="Arial"/>
                <w:color w:val="000000"/>
                <w:sz w:val="16"/>
                <w:u w:val="single"/>
              </w:rPr>
              <w:t>Lease</w:t>
            </w:r>
            <w:r>
              <w:rPr>
                <w:rFonts w:ascii="Times New Roman" w:hAnsi="Times New Roman"/>
                <w:color w:val="000000"/>
                <w:sz w:val="16"/>
                <w:u w:val="single"/>
              </w:rPr>
              <w:t xml:space="preserve"> </w:t>
            </w:r>
            <w:r>
              <w:rPr>
                <w:rFonts w:ascii="Arial" w:hAnsi="Arial"/>
                <w:color w:val="000000"/>
                <w:sz w:val="16"/>
                <w:u w:val="single"/>
              </w:rPr>
              <w:t>Exhibit</w:t>
            </w:r>
            <w:r>
              <w:rPr>
                <w:rFonts w:ascii="Times New Roman" w:hAnsi="Times New Roman"/>
                <w:color w:val="000000"/>
                <w:sz w:val="16"/>
                <w:u w:val="single"/>
              </w:rPr>
              <w:t xml:space="preserve"> </w:t>
            </w:r>
            <w:r>
              <w:rPr>
                <w:rFonts w:ascii="Arial" w:hAnsi="Arial"/>
                <w:color w:val="000000"/>
                <w:sz w:val="16"/>
                <w:u w:val="single"/>
              </w:rPr>
              <w:t>B.</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($50,620.00)</w:t>
            </w:r>
          </w:p>
        </w:tc>
        <w:tc>
          <w:tcPr>
            <w:tcW w:w="700" w:type="dxa"/>
            <w:tcBorders>
              <w:bottom w:val="single" w:sz="6" w:space="0" w:color="000000"/>
            </w:tcBorders>
            <w:tcMar>
              <w:top w:w="0" w:type="dxa"/>
              <w:left w:w="0" w:type="dxa"/>
              <w:right w:w="0" w:type="dxa"/>
            </w:tcMar>
            <w:vAlign w:val="center"/>
          </w:tcPr>
          <w:p>
            <w:pPr>
              <w:pStyle w:val="TableContents"/>
              <w:bidi w:val="0"/>
              <w:spacing w:before="11" w:after="283"/>
              <w:jc w:val="left"/>
              <w:rPr/>
            </w:pPr>
            <w:r>
              <w:rPr/>
              <w:t> </w:t>
            </w:r>
          </w:p>
        </w:tc>
      </w:tr>
      <w:tr>
        <w:trPr/>
        <w:tc>
          <w:tcPr>
            <w:tcW w:w="850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70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0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70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0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70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0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70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0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70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0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70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09" w:type="dxa"/>
            <w:gridSpan w:val="3"/>
            <w:tcBorders>
              <w:left w:val="single" w:sz="6" w:space="0" w:color="000000"/>
              <w:bottom w:val="single" w:sz="6" w:space="0" w:color="000000"/>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700" w:type="dxa"/>
            <w:vMerge w:val="restart"/>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77D4"/>
                <w:sz w:val="21"/>
              </w:rPr>
            </w:pPr>
            <w:r>
              <w:rPr>
                <w:rFonts w:ascii="Arial" w:hAnsi="Arial"/>
                <w:color w:val="0077D4"/>
                <w:sz w:val="21"/>
              </w:rPr>
              <w:t>OK MC</w:t>
            </w:r>
          </w:p>
        </w:tc>
      </w:tr>
      <w:tr>
        <w:trPr/>
        <w:tc>
          <w:tcPr>
            <w:tcW w:w="1990" w:type="dxa"/>
            <w:gridSpan w:val="2"/>
            <w:tcBorders>
              <w:right w:val="single" w:sz="6" w:space="0" w:color="000000"/>
            </w:tcBorders>
            <w:tcMar>
              <w:top w:w="0" w:type="dxa"/>
              <w:left w:w="0" w:type="dxa"/>
              <w:bottom w:w="0" w:type="dxa"/>
            </w:tcMar>
            <w:vAlign w:val="center"/>
          </w:tcPr>
          <w:p>
            <w:pPr>
              <w:pStyle w:val="TableContents"/>
              <w:bidi w:val="0"/>
              <w:spacing w:before="0" w:after="283"/>
              <w:ind w:left="0" w:right="0" w:firstLine="23"/>
              <w:jc w:val="left"/>
              <w:rPr/>
            </w:pPr>
            <w:r>
              <w:rPr/>
              <w:t> </w:t>
            </w:r>
          </w:p>
        </w:tc>
        <w:tc>
          <w:tcPr>
            <w:tcW w:w="6519" w:type="dxa"/>
            <w:tcBorders>
              <w:bottom w:val="single" w:sz="6" w:space="0" w:color="000000"/>
            </w:tcBorders>
            <w:tcMar>
              <w:top w:w="0" w:type="dxa"/>
              <w:left w:w="0" w:type="dxa"/>
              <w:right w:w="0" w:type="dxa"/>
            </w:tcMar>
            <w:vAlign w:val="center"/>
          </w:tcPr>
          <w:p>
            <w:pPr>
              <w:pStyle w:val="TableContents"/>
              <w:bidi w:val="0"/>
              <w:spacing w:before="15" w:after="283"/>
              <w:ind w:left="0" w:right="0" w:firstLine="23"/>
              <w:jc w:val="left"/>
              <w:rPr>
                <w:rFonts w:ascii="Times New Roman" w:hAnsi="Times New Roman"/>
                <w:sz w:val="13"/>
              </w:rPr>
            </w:pPr>
            <w:r>
              <w:rPr>
                <w:rFonts w:ascii="Arial" w:hAnsi="Arial"/>
                <w:b/>
                <w:color w:val="000000"/>
                <w:sz w:val="13"/>
              </w:rPr>
              <w:t>TOTAL</w:t>
            </w:r>
            <w:r>
              <w:rPr>
                <w:rFonts w:ascii="Times New Roman" w:hAnsi="Times New Roman"/>
                <w:color w:val="000000"/>
                <w:sz w:val="13"/>
              </w:rPr>
              <w:t xml:space="preserve"> </w:t>
            </w:r>
            <w:r>
              <w:rPr>
                <w:rFonts w:ascii="Arial" w:hAnsi="Arial"/>
                <w:b/>
                <w:color w:val="000000"/>
                <w:sz w:val="13"/>
              </w:rPr>
              <w:t>CO#18</w:t>
            </w:r>
          </w:p>
        </w:tc>
        <w:tc>
          <w:tcPr>
            <w:tcW w:w="996" w:type="dxa"/>
            <w:tcBorders>
              <w:bottom w:val="single" w:sz="6" w:space="0" w:color="000000"/>
              <w:right w:val="single" w:sz="6" w:space="0" w:color="000000"/>
            </w:tcBorders>
            <w:tcMar>
              <w:top w:w="0" w:type="dxa"/>
              <w:left w:w="0" w:type="dxa"/>
            </w:tcMar>
            <w:vAlign w:val="center"/>
          </w:tcPr>
          <w:p>
            <w:pPr>
              <w:pStyle w:val="TableContents"/>
              <w:bidi w:val="0"/>
              <w:spacing w:before="15" w:after="283"/>
              <w:ind w:left="23" w:right="0" w:firstLine="23"/>
              <w:jc w:val="right"/>
              <w:rPr>
                <w:rFonts w:ascii="Arial" w:hAnsi="Arial"/>
                <w:b/>
                <w:color w:val="000000"/>
                <w:sz w:val="12"/>
              </w:rPr>
            </w:pPr>
            <w:r>
              <w:rPr>
                <w:rFonts w:ascii="Arial" w:hAnsi="Arial"/>
                <w:b/>
                <w:color w:val="000000"/>
                <w:sz w:val="12"/>
              </w:rPr>
              <w:t>($50,620.00)</w:t>
            </w:r>
          </w:p>
        </w:tc>
        <w:tc>
          <w:tcPr>
            <w:tcW w:w="700" w:type="dxa"/>
            <w:vMerge w:val="continue"/>
            <w:tcBorders>
              <w:bottom w:val="single" w:sz="6" w:space="0" w:color="000000"/>
            </w:tcBorders>
            <w:tcMar>
              <w:top w:w="0" w:type="dxa"/>
              <w:left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spacing w:before="1" w:after="283"/>
        <w:jc w:val="left"/>
        <w:rPr>
          <w:rFonts w:ascii="Arial" w:hAnsi="Arial"/>
          <w:color w:val="000000"/>
          <w:sz w:val="13"/>
        </w:rPr>
      </w:pPr>
      <w:r>
        <w:rPr>
          <w:rFonts w:ascii="Arial" w:hAnsi="Arial"/>
          <w:color w:val="000000"/>
          <w:sz w:val="13"/>
        </w:rPr>
        <w:t>CarGurus acknowledges and agrees that (a) this change order constitutes a Tenant Change Order subject to and in accordance with the terms of the Lease; and (b) (i) it will pay to Landlord, as Additional Rent under the Lease, the actual amount of the increased costs and expenses resulting from this Tenant Change Order, and (ii) any and all delays resulting from the work contemplated by or resulting from this Tenant Change Order shall constitute a Tenant Delay under the Lease. Capitalized terms used but not defined herein shall have the meaning ascribed to them in the Lease. Please countersign this change order in the space below to confirm your agreement.</w:t>
      </w:r>
    </w:p>
    <w:p>
      <w:pPr>
        <w:pStyle w:val="TextBody"/>
        <w:bidi w:val="0"/>
        <w:spacing w:before="200" w:after="283"/>
        <w:jc w:val="left"/>
        <w:rPr>
          <w:rFonts w:ascii="Arial" w:hAnsi="Arial"/>
          <w:color w:val="000000"/>
          <w:sz w:val="15"/>
        </w:rPr>
      </w:pPr>
      <w:r>
        <w:rPr>
          <w:rFonts w:ascii="Arial" w:hAnsi="Arial"/>
          <w:color w:val="000000"/>
          <w:sz w:val="15"/>
        </w:rPr>
        <w:t>Sincerely,</w:t>
      </w:r>
    </w:p>
    <w:p>
      <w:pPr>
        <w:pStyle w:val="TextBody"/>
        <w:bidi w:val="0"/>
        <w:spacing w:before="200" w:after="283"/>
        <w:jc w:val="left"/>
        <w:rPr>
          <w:rFonts w:ascii="Times New Roman" w:hAnsi="Times New Roman"/>
          <w:sz w:val="20"/>
        </w:rPr>
      </w:pPr>
      <w:r>
        <w:rPr>
          <w:rFonts w:ascii="Arial" w:hAnsi="Arial"/>
          <w:b/>
          <w:color w:val="000000"/>
          <w:sz w:val="15"/>
        </w:rPr>
        <w:t>P-12</w:t>
      </w:r>
      <w:r>
        <w:rPr>
          <w:rFonts w:ascii="Times New Roman" w:hAnsi="Times New Roman"/>
          <w:color w:val="000000"/>
          <w:sz w:val="20"/>
        </w:rPr>
        <w:t xml:space="preserve"> </w:t>
      </w:r>
      <w:r>
        <w:rPr>
          <w:rFonts w:ascii="Arial" w:hAnsi="Arial"/>
          <w:b/>
          <w:color w:val="000000"/>
          <w:sz w:val="15"/>
        </w:rPr>
        <w:t>Property</w:t>
      </w:r>
      <w:r>
        <w:rPr>
          <w:rFonts w:ascii="Times New Roman" w:hAnsi="Times New Roman"/>
          <w:color w:val="000000"/>
          <w:sz w:val="20"/>
        </w:rPr>
        <w:t xml:space="preserve"> </w:t>
      </w:r>
      <w:r>
        <w:rPr>
          <w:rFonts w:ascii="Arial" w:hAnsi="Arial"/>
          <w:b/>
          <w:color w:val="000000"/>
          <w:sz w:val="15"/>
        </w:rPr>
        <w:t>LLC</w:t>
      </w:r>
    </w:p>
    <w:p>
      <w:pPr>
        <w:pStyle w:val="TextBody"/>
        <w:bidi w:val="0"/>
        <w:jc w:val="left"/>
        <w:rPr/>
      </w:pPr>
      <w:r>
        <w:rPr/>
        <w:t> </w:t>
      </w:r>
    </w:p>
    <w:tbl>
      <w:tblPr>
        <w:tblW w:w="2209" w:type="dxa"/>
        <w:jc w:val="left"/>
        <w:tblInd w:w="0" w:type="dxa"/>
        <w:tblLayout w:type="fixed"/>
        <w:tblCellMar>
          <w:top w:w="28" w:type="dxa"/>
          <w:left w:w="28" w:type="dxa"/>
          <w:bottom w:w="28" w:type="dxa"/>
          <w:right w:w="28" w:type="dxa"/>
        </w:tblCellMar>
      </w:tblPr>
      <w:tblGrid>
        <w:gridCol w:w="1270"/>
        <w:gridCol w:w="939"/>
      </w:tblGrid>
      <w:tr>
        <w:trPr/>
        <w:tc>
          <w:tcPr>
            <w:tcW w:w="12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ind w:left="0" w:right="0" w:firstLine="19"/>
              <w:jc w:val="left"/>
              <w:rPr>
                <w:sz w:val="4"/>
                <w:szCs w:val="4"/>
              </w:rPr>
            </w:pPr>
            <w:r>
              <w:rPr>
                <w:sz w:val="4"/>
                <w:szCs w:val="4"/>
              </w:rPr>
            </w:r>
          </w:p>
        </w:tc>
      </w:tr>
      <w:tr>
        <w:trPr/>
        <w:tc>
          <w:tcPr>
            <w:tcW w:w="2209" w:type="dxa"/>
            <w:gridSpan w:val="2"/>
            <w:tcBorders>
              <w:top w:val="single" w:sz="4" w:space="0" w:color="000000"/>
              <w:left w:val="single" w:sz="4" w:space="0" w:color="000000"/>
              <w:bottom w:val="single" w:sz="4" w:space="0" w:color="000000"/>
              <w:right w:val="single" w:sz="4" w:space="0" w:color="000000"/>
            </w:tcBorders>
            <w:shd w:fill="D9E1F2" w:val="clear"/>
            <w:vAlign w:val="center"/>
          </w:tcPr>
          <w:p>
            <w:pPr>
              <w:pStyle w:val="TableContents"/>
              <w:bidi w:val="0"/>
              <w:spacing w:before="17" w:after="283"/>
              <w:ind w:left="19" w:right="0" w:firstLine="19"/>
              <w:jc w:val="left"/>
              <w:rPr>
                <w:rFonts w:ascii="Times New Roman" w:hAnsi="Times New Roman"/>
                <w:sz w:val="13"/>
              </w:rPr>
            </w:pPr>
            <w:r>
              <w:rPr>
                <w:rFonts w:ascii="Arial" w:hAnsi="Arial"/>
                <w:b/>
                <w:color w:val="000000"/>
                <w:sz w:val="13"/>
              </w:rPr>
              <w:t>Acknowledged</w:t>
            </w:r>
            <w:r>
              <w:rPr>
                <w:rFonts w:ascii="Times New Roman" w:hAnsi="Times New Roman"/>
                <w:color w:val="000000"/>
                <w:sz w:val="13"/>
              </w:rPr>
              <w:t xml:space="preserve"> </w:t>
            </w:r>
            <w:r>
              <w:rPr>
                <w:rFonts w:ascii="Arial" w:hAnsi="Arial"/>
                <w:b/>
                <w:color w:val="000000"/>
                <w:sz w:val="13"/>
              </w:rPr>
              <w:t>and</w:t>
            </w:r>
            <w:r>
              <w:rPr>
                <w:rFonts w:ascii="Times New Roman" w:hAnsi="Times New Roman"/>
                <w:color w:val="000000"/>
                <w:sz w:val="13"/>
              </w:rPr>
              <w:t xml:space="preserve"> </w:t>
            </w:r>
            <w:r>
              <w:rPr>
                <w:rFonts w:ascii="Arial" w:hAnsi="Arial"/>
                <w:b/>
                <w:color w:val="000000"/>
                <w:sz w:val="13"/>
              </w:rPr>
              <w:t>Agreed</w:t>
            </w:r>
            <w:r>
              <w:rPr>
                <w:rFonts w:ascii="Times New Roman" w:hAnsi="Times New Roman"/>
                <w:color w:val="000000"/>
                <w:sz w:val="13"/>
              </w:rPr>
              <w:t xml:space="preserve"> </w:t>
            </w:r>
            <w:r>
              <w:rPr>
                <w:rFonts w:ascii="Arial" w:hAnsi="Arial"/>
                <w:b/>
                <w:color w:val="000000"/>
                <w:sz w:val="13"/>
              </w:rPr>
              <w:t>to</w:t>
            </w:r>
            <w:r>
              <w:rPr>
                <w:rFonts w:ascii="Times New Roman" w:hAnsi="Times New Roman"/>
                <w:color w:val="000000"/>
                <w:sz w:val="13"/>
              </w:rPr>
              <w:t xml:space="preserve"> </w:t>
            </w:r>
            <w:r>
              <w:rPr>
                <w:rFonts w:ascii="Arial" w:hAnsi="Arial"/>
                <w:b/>
                <w:color w:val="000000"/>
                <w:sz w:val="13"/>
              </w:rPr>
              <w:t>by:</w:t>
            </w:r>
          </w:p>
        </w:tc>
      </w:tr>
      <w:tr>
        <w:trPr/>
        <w:tc>
          <w:tcPr>
            <w:tcW w:w="2209" w:type="dxa"/>
            <w:gridSpan w:val="2"/>
            <w:tcBorders/>
            <w:tcMar>
              <w:top w:w="0" w:type="dxa"/>
              <w:left w:w="0" w:type="dxa"/>
              <w:bottom w:w="0" w:type="dxa"/>
              <w:right w:w="0" w:type="dxa"/>
            </w:tcMar>
            <w:vAlign w:val="center"/>
          </w:tcPr>
          <w:p>
            <w:pPr>
              <w:pStyle w:val="TableContents"/>
              <w:bidi w:val="0"/>
              <w:spacing w:before="23" w:after="283"/>
              <w:jc w:val="left"/>
              <w:rPr>
                <w:rFonts w:ascii="Times New Roman" w:hAnsi="Times New Roman"/>
                <w:sz w:val="13"/>
              </w:rPr>
            </w:pPr>
            <w:r>
              <w:rPr>
                <w:rFonts w:ascii="Arial" w:hAnsi="Arial"/>
                <w:b/>
                <w:color w:val="000000"/>
                <w:sz w:val="13"/>
              </w:rPr>
              <w:t>CarGurus,</w:t>
            </w:r>
            <w:r>
              <w:rPr>
                <w:rFonts w:ascii="Times New Roman" w:hAnsi="Times New Roman"/>
                <w:color w:val="000000"/>
                <w:sz w:val="13"/>
              </w:rPr>
              <w:t xml:space="preserve"> </w:t>
            </w:r>
            <w:r>
              <w:rPr>
                <w:rFonts w:ascii="Arial" w:hAnsi="Arial"/>
                <w:b/>
                <w:color w:val="000000"/>
                <w:sz w:val="13"/>
              </w:rPr>
              <w:t>Inc.</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x /s/ Brandon Morrill</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Signtature</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Brandon Morrill</w:t>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4/12/2024</w:t>
            </w:r>
          </w:p>
        </w:tc>
      </w:tr>
    </w:tbl>
    <w:p>
      <w:pPr>
        <w:pStyle w:val="TextBody"/>
        <w:bidi w:val="0"/>
        <w:spacing w:before="14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left"/>
        <w:rPr/>
      </w:pPr>
      <w:r>
        <w:rPr/>
        <w:t> </w:t>
      </w:r>
    </w:p>
    <w:p>
      <w:pPr>
        <w:pStyle w:val="TextBody"/>
        <w:bidi w:val="0"/>
        <w:jc w:val="center"/>
        <w:rPr/>
      </w:pPr>
      <w:r>
        <w:rPr/>
        <w:drawing>
          <wp:inline distT="0" distB="0" distL="0" distR="0">
            <wp:extent cx="5838825" cy="7439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5838825" cy="7439025"/>
                    </a:xfrm>
                    <a:prstGeom prst="rect">
                      <a:avLst/>
                    </a:prstGeom>
                  </pic:spPr>
                </pic:pic>
              </a:graphicData>
            </a:graphic>
          </wp:inline>
        </w:drawing>
      </w:r>
      <w:r>
        <w:rPr/>
        <w:t> </w:t>
      </w:r>
    </w:p>
    <w:p>
      <w:pPr>
        <w:pStyle w:val="TextBody"/>
        <w:bidi w:val="0"/>
        <w:spacing w:before="0" w:after="160"/>
        <w:jc w:val="left"/>
        <w:rPr>
          <w:rFonts w:ascii="Arial" w:hAnsi="Arial"/>
          <w:color w:val="FFFFFF"/>
          <w:sz w:val="2"/>
        </w:rPr>
      </w:pPr>
      <w:r>
        <w:rPr>
          <w:rFonts w:ascii="Arial" w:hAnsi="Arial"/>
          <w:color w:val="FFFFFF"/>
          <w:sz w:val="2"/>
        </w:rPr>
        <w:t>1001 Boylston-Office Core/Shell Scope LOI "Exhibit B"- Revised 11-7-19 Scope Item Floor Common Area Base building mechanical/electric/tel-data rooms - flooring, wall base, painted GBW Taped and sanded GWB at Tenant side of core and mechanical rooms Type X GWB at interior face of exterior walls GW8 at column enclosures Base building doors frames,doors, and hardware Shaft enclosures for Tenant provided systems within building core Partitions, ceilings, floorings, painting, finishes, doors, millwork, and all build-out within Tenant area Base building toilet rooms - Tile or polished concrete floors, partial tile coverage on walls, finished ceiling, ADA bathroom accessories, fixtures, hand dryers, and toilet partitions {with privacy panels) Tenant kitchens, and Tenant fit-out toilet rooms including plumbing Mechanical/electric/tel-data rooms for individual Tenant systems Horizontal window blinds and/or window treatments {See LL standard shade, color,and mounting detail) Exit stairs - Finishes include painted stringer, risers, and railings, seated concrete floor and treads, vinyl base at landings, painted GWB walls {except at concrete core), no ceilings Furnish and install of a larger, dressed up stair to act as a communication stair Vestibule at freight elevator/mechanical spaces including electrified door lock to receive card reader ELEVATORS Garage passenger elevator serving garage levels Office tower passenger elevators Building common fire extinguishers Tenant fire extinguishers Tenant equipment Patio heat to extend season usage Snow/ice melting decking on patio Patio-Exterior lighting, pavers, convenience power outlets PLUMBING Underground utility piping (water, waste, gas) to main ser11ice points and base building equipment Domestic water to base building fixtures HW generation for base building toilet rooms 2' domestic cold water stubbed into Tenant area and capped for Tenant use Domestic water distribution within Tenant premi5es Waste and vent service for base building areas Responsibility Tenant X X X X X X X X X X X Landlord X X X X X X X X X X X X X X X X X As Existing Comments GWB by landlord at all column locations that BB infrastructure occurs {i.e.: rain leaders).-landlord to credit cast for gwb walls at columns with B8 infrastructure. Tenant to provide as part of Tenant Interiors work. Meet 100 SF per person Landlord to provide paint and flooring at one (1) exit stair at tenant floors to act as a communicating stair. Heat Lamps to be provided where feasible. South Terrace to be reviewed for alternative methods. No</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Exhibit 2.1-1, Page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center"/>
        <w:rPr>
          <w:rFonts w:ascii="Times New Roman" w:hAnsi="Times New Roman"/>
          <w:sz w:val="20"/>
        </w:rPr>
      </w:pPr>
      <w:r>
        <w:rPr>
          <w:rFonts w:ascii="Arial" w:hAnsi="Arial"/>
          <w:color w:val="000000"/>
          <w:sz w:val="27"/>
        </w:rPr>
        <w:t>Parcel</w:t>
      </w:r>
      <w:r>
        <w:rPr>
          <w:rFonts w:ascii="Times New Roman" w:hAnsi="Times New Roman"/>
          <w:color w:val="000000"/>
          <w:sz w:val="20"/>
        </w:rPr>
        <w:t xml:space="preserve"> </w:t>
      </w:r>
      <w:r>
        <w:rPr>
          <w:rFonts w:ascii="Arial" w:hAnsi="Arial"/>
          <w:color w:val="000000"/>
          <w:sz w:val="27"/>
        </w:rPr>
        <w:t>12</w:t>
      </w:r>
    </w:p>
    <w:p>
      <w:pPr>
        <w:pStyle w:val="TextBody"/>
        <w:bidi w:val="0"/>
        <w:spacing w:before="16" w:after="283"/>
        <w:jc w:val="center"/>
        <w:rPr>
          <w:rFonts w:ascii="Times New Roman" w:hAnsi="Times New Roman"/>
          <w:sz w:val="20"/>
        </w:rPr>
      </w:pPr>
      <w:r>
        <w:rPr>
          <w:rFonts w:ascii="Arial" w:hAnsi="Arial"/>
          <w:color w:val="000000"/>
          <w:sz w:val="17"/>
        </w:rPr>
        <w:t>Boston,</w:t>
      </w:r>
      <w:r>
        <w:rPr>
          <w:rFonts w:ascii="Times New Roman" w:hAnsi="Times New Roman"/>
          <w:color w:val="000000"/>
          <w:sz w:val="20"/>
        </w:rPr>
        <w:t xml:space="preserve"> </w:t>
      </w:r>
      <w:r>
        <w:rPr>
          <w:rFonts w:ascii="Arial" w:hAnsi="Arial"/>
          <w:color w:val="000000"/>
          <w:sz w:val="17"/>
        </w:rPr>
        <w:t>MA</w:t>
      </w:r>
    </w:p>
    <w:p>
      <w:pPr>
        <w:pStyle w:val="TextBody"/>
        <w:bidi w:val="0"/>
        <w:jc w:val="left"/>
        <w:rPr/>
      </w:pPr>
      <w:r>
        <w:rPr/>
        <w:t> </w:t>
      </w:r>
    </w:p>
    <w:tbl>
      <w:tblPr>
        <w:tblW w:w="3750" w:type="dxa"/>
        <w:jc w:val="left"/>
        <w:tblInd w:w="0" w:type="dxa"/>
        <w:tblLayout w:type="fixed"/>
        <w:tblCellMar>
          <w:top w:w="28" w:type="dxa"/>
          <w:left w:w="28" w:type="dxa"/>
          <w:bottom w:w="28" w:type="dxa"/>
          <w:right w:w="28" w:type="dxa"/>
        </w:tblCellMar>
      </w:tblPr>
      <w:tblGrid>
        <w:gridCol w:w="1390"/>
        <w:gridCol w:w="2360"/>
      </w:tblGrid>
      <w:tr>
        <w:trPr/>
        <w:tc>
          <w:tcPr>
            <w:tcW w:w="13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3750"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83"/>
              <w:jc w:val="center"/>
              <w:rPr>
                <w:rFonts w:ascii="Times New Roman" w:hAnsi="Times New Roman"/>
                <w:sz w:val="22"/>
              </w:rPr>
            </w:pPr>
            <w:r>
              <w:rPr>
                <w:rFonts w:ascii="Arial" w:hAnsi="Arial"/>
                <w:color w:val="000000"/>
                <w:sz w:val="22"/>
              </w:rPr>
              <w:t>CarGurus</w:t>
            </w:r>
            <w:r>
              <w:rPr>
                <w:rFonts w:ascii="Times New Roman" w:hAnsi="Times New Roman"/>
                <w:color w:val="000000"/>
                <w:sz w:val="22"/>
              </w:rPr>
              <w:t xml:space="preserve"> </w:t>
            </w:r>
            <w:r>
              <w:rPr>
                <w:rFonts w:ascii="Arial" w:hAnsi="Arial"/>
                <w:color w:val="000000"/>
                <w:sz w:val="22"/>
              </w:rPr>
              <w:t>Tenant</w:t>
            </w:r>
            <w:r>
              <w:rPr>
                <w:rFonts w:ascii="Times New Roman" w:hAnsi="Times New Roman"/>
                <w:color w:val="000000"/>
                <w:sz w:val="22"/>
              </w:rPr>
              <w:t xml:space="preserve"> </w:t>
            </w:r>
            <w:r>
              <w:rPr>
                <w:rFonts w:ascii="Arial" w:hAnsi="Arial"/>
                <w:color w:val="000000"/>
                <w:sz w:val="22"/>
              </w:rPr>
              <w:t>Change</w:t>
            </w:r>
            <w:r>
              <w:rPr>
                <w:rFonts w:ascii="Times New Roman" w:hAnsi="Times New Roman"/>
                <w:color w:val="000000"/>
                <w:sz w:val="22"/>
              </w:rPr>
              <w:t xml:space="preserve"> </w:t>
            </w:r>
            <w:r>
              <w:rPr>
                <w:rFonts w:ascii="Arial" w:hAnsi="Arial"/>
                <w:color w:val="000000"/>
                <w:sz w:val="22"/>
              </w:rPr>
              <w:t>Order</w:t>
            </w:r>
            <w:r>
              <w:rPr>
                <w:rFonts w:ascii="Times New Roman" w:hAnsi="Times New Roman"/>
                <w:color w:val="000000"/>
                <w:sz w:val="22"/>
              </w:rPr>
              <w:t xml:space="preserve"> </w:t>
            </w:r>
            <w:r>
              <w:rPr>
                <w:rFonts w:ascii="Arial" w:hAnsi="Arial"/>
                <w:color w:val="000000"/>
                <w:sz w:val="22"/>
              </w:rPr>
              <w:t>#19</w:t>
            </w:r>
          </w:p>
        </w:tc>
      </w:tr>
      <w:tr>
        <w:trPr/>
        <w:tc>
          <w:tcPr>
            <w:tcW w:w="13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6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Date:</w:t>
            </w:r>
          </w:p>
        </w:tc>
        <w:tc>
          <w:tcPr>
            <w:tcW w:w="236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3/29/2024</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13"/>
        </w:rPr>
        <w:t>Canal</w:t>
      </w:r>
      <w:r>
        <w:rPr>
          <w:rFonts w:ascii="Times New Roman" w:hAnsi="Times New Roman"/>
          <w:color w:val="000000"/>
          <w:sz w:val="20"/>
        </w:rPr>
        <w:t xml:space="preserve"> </w:t>
      </w:r>
      <w:r>
        <w:rPr>
          <w:rFonts w:ascii="Arial" w:hAnsi="Arial"/>
          <w:color w:val="000000"/>
          <w:sz w:val="13"/>
        </w:rPr>
        <w:t>Park</w:t>
      </w:r>
    </w:p>
    <w:p>
      <w:pPr>
        <w:pStyle w:val="TextBody"/>
        <w:bidi w:val="0"/>
        <w:jc w:val="left"/>
        <w:rPr>
          <w:rFonts w:ascii="Times New Roman" w:hAnsi="Times New Roman"/>
          <w:sz w:val="20"/>
        </w:rPr>
      </w:pPr>
      <w:r>
        <w:rPr>
          <w:rFonts w:ascii="Arial" w:hAnsi="Arial"/>
          <w:color w:val="000000"/>
          <w:sz w:val="13"/>
        </w:rPr>
        <w:t>Cambridge,</w:t>
      </w:r>
      <w:r>
        <w:rPr>
          <w:rFonts w:ascii="Times New Roman" w:hAnsi="Times New Roman"/>
          <w:color w:val="000000"/>
          <w:sz w:val="20"/>
        </w:rPr>
        <w:t xml:space="preserve"> </w:t>
      </w:r>
      <w:r>
        <w:rPr>
          <w:rFonts w:ascii="Arial" w:hAnsi="Arial"/>
          <w:color w:val="000000"/>
          <w:sz w:val="13"/>
        </w:rPr>
        <w:t>MA</w:t>
      </w:r>
      <w:r>
        <w:rPr>
          <w:rFonts w:ascii="Times New Roman" w:hAnsi="Times New Roman"/>
          <w:color w:val="000000"/>
          <w:sz w:val="20"/>
        </w:rPr>
        <w:t xml:space="preserve"> </w:t>
      </w:r>
      <w:r>
        <w:rPr>
          <w:rFonts w:ascii="Arial" w:hAnsi="Arial"/>
          <w:color w:val="000000"/>
          <w:sz w:val="13"/>
        </w:rPr>
        <w:t>02141</w:t>
      </w:r>
    </w:p>
    <w:p>
      <w:pPr>
        <w:pStyle w:val="TextBody"/>
        <w:bidi w:val="0"/>
        <w:spacing w:before="200" w:after="283"/>
        <w:jc w:val="left"/>
        <w:rPr>
          <w:rFonts w:ascii="Times New Roman" w:hAnsi="Times New Roman"/>
          <w:sz w:val="20"/>
        </w:rPr>
      </w:pPr>
      <w:r>
        <w:rPr>
          <w:rFonts w:ascii="Arial" w:hAnsi="Arial"/>
          <w:color w:val="000000"/>
          <w:sz w:val="13"/>
        </w:rPr>
        <w:t>Mr.</w:t>
      </w:r>
      <w:r>
        <w:rPr>
          <w:rFonts w:ascii="Times New Roman" w:hAnsi="Times New Roman"/>
          <w:color w:val="000000"/>
          <w:sz w:val="20"/>
        </w:rPr>
        <w:t xml:space="preserve"> </w:t>
      </w:r>
      <w:r>
        <w:rPr>
          <w:rFonts w:ascii="Arial" w:hAnsi="Arial"/>
          <w:color w:val="000000"/>
          <w:sz w:val="13"/>
        </w:rPr>
        <w:t>John</w:t>
      </w:r>
      <w:r>
        <w:rPr>
          <w:rFonts w:ascii="Times New Roman" w:hAnsi="Times New Roman"/>
          <w:color w:val="000000"/>
          <w:sz w:val="20"/>
        </w:rPr>
        <w:t xml:space="preserve"> </w:t>
      </w:r>
      <w:r>
        <w:rPr>
          <w:rFonts w:ascii="Arial" w:hAnsi="Arial"/>
          <w:color w:val="000000"/>
          <w:sz w:val="13"/>
        </w:rPr>
        <w:t>Hart:</w:t>
      </w:r>
    </w:p>
    <w:p>
      <w:pPr>
        <w:pStyle w:val="TextBody"/>
        <w:bidi w:val="0"/>
        <w:spacing w:before="200" w:after="283"/>
        <w:jc w:val="left"/>
        <w:rPr>
          <w:rFonts w:ascii="Times New Roman" w:hAnsi="Times New Roman"/>
          <w:sz w:val="20"/>
        </w:rPr>
      </w:pPr>
      <w:r>
        <w:rPr>
          <w:rFonts w:ascii="Arial" w:hAnsi="Arial"/>
          <w:color w:val="000000"/>
          <w:sz w:val="13"/>
        </w:rPr>
        <w:t>RE:</w:t>
      </w:r>
      <w:r>
        <w:rPr>
          <w:rFonts w:ascii="Times New Roman" w:hAnsi="Times New Roman"/>
          <w:color w:val="000000"/>
          <w:sz w:val="20"/>
        </w:rPr>
        <w:t xml:space="preserve"> </w:t>
      </w:r>
      <w:r>
        <w:rPr>
          <w:rFonts w:ascii="Arial" w:hAnsi="Arial"/>
          <w:color w:val="000000"/>
          <w:sz w:val="13"/>
        </w:rPr>
        <w:t>Change</w:t>
      </w:r>
      <w:r>
        <w:rPr>
          <w:rFonts w:ascii="Times New Roman" w:hAnsi="Times New Roman"/>
          <w:color w:val="000000"/>
          <w:sz w:val="20"/>
        </w:rPr>
        <w:t xml:space="preserve"> </w:t>
      </w:r>
      <w:r>
        <w:rPr>
          <w:rFonts w:ascii="Arial" w:hAnsi="Arial"/>
          <w:color w:val="000000"/>
          <w:sz w:val="13"/>
        </w:rPr>
        <w:t>Order</w:t>
      </w:r>
      <w:r>
        <w:rPr>
          <w:rFonts w:ascii="Times New Roman" w:hAnsi="Times New Roman"/>
          <w:color w:val="000000"/>
          <w:sz w:val="20"/>
        </w:rPr>
        <w:t xml:space="preserve"> </w:t>
      </w:r>
      <w:r>
        <w:rPr>
          <w:rFonts w:ascii="Arial" w:hAnsi="Arial"/>
          <w:color w:val="000000"/>
          <w:sz w:val="13"/>
        </w:rPr>
        <w:t>-</w:t>
      </w:r>
      <w:r>
        <w:rPr>
          <w:rFonts w:ascii="Times New Roman" w:hAnsi="Times New Roman"/>
          <w:color w:val="000000"/>
          <w:sz w:val="20"/>
        </w:rPr>
        <w:t xml:space="preserve"> </w:t>
      </w:r>
      <w:r>
        <w:rPr>
          <w:rFonts w:ascii="Arial" w:hAnsi="Arial"/>
          <w:color w:val="000000"/>
          <w:sz w:val="13"/>
        </w:rPr>
        <w:t>Lease</w:t>
      </w:r>
      <w:r>
        <w:rPr>
          <w:rFonts w:ascii="Times New Roman" w:hAnsi="Times New Roman"/>
          <w:color w:val="000000"/>
          <w:sz w:val="20"/>
        </w:rPr>
        <w:t xml:space="preserve"> </w:t>
      </w:r>
      <w:r>
        <w:rPr>
          <w:rFonts w:ascii="Arial" w:hAnsi="Arial"/>
          <w:color w:val="000000"/>
          <w:sz w:val="13"/>
        </w:rPr>
        <w:t>by</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between</w:t>
      </w:r>
      <w:r>
        <w:rPr>
          <w:rFonts w:ascii="Times New Roman" w:hAnsi="Times New Roman"/>
          <w:color w:val="000000"/>
          <w:sz w:val="20"/>
        </w:rPr>
        <w:t xml:space="preserve"> </w:t>
      </w: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Inc.</w:t>
      </w:r>
      <w:r>
        <w:rPr>
          <w:rFonts w:ascii="Times New Roman" w:hAnsi="Times New Roman"/>
          <w:color w:val="000000"/>
          <w:sz w:val="20"/>
        </w:rPr>
        <w:t xml:space="preserve"> </w:t>
      </w: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P-12</w:t>
      </w:r>
      <w:r>
        <w:rPr>
          <w:rFonts w:ascii="Times New Roman" w:hAnsi="Times New Roman"/>
          <w:color w:val="000000"/>
          <w:sz w:val="20"/>
        </w:rPr>
        <w:t xml:space="preserve"> </w:t>
      </w:r>
      <w:r>
        <w:rPr>
          <w:rFonts w:ascii="Arial" w:hAnsi="Arial"/>
          <w:color w:val="000000"/>
          <w:sz w:val="13"/>
        </w:rPr>
        <w:t>Property</w:t>
      </w:r>
      <w:r>
        <w:rPr>
          <w:rFonts w:ascii="Times New Roman" w:hAnsi="Times New Roman"/>
          <w:color w:val="000000"/>
          <w:sz w:val="20"/>
        </w:rPr>
        <w:t xml:space="preserve"> </w:t>
      </w:r>
      <w:r>
        <w:rPr>
          <w:rFonts w:ascii="Arial" w:hAnsi="Arial"/>
          <w:color w:val="000000"/>
          <w:sz w:val="13"/>
        </w:rPr>
        <w:t>LLC</w:t>
      </w:r>
      <w:r>
        <w:rPr>
          <w:rFonts w:ascii="Times New Roman" w:hAnsi="Times New Roman"/>
          <w:color w:val="000000"/>
          <w:sz w:val="20"/>
        </w:rPr>
        <w:t xml:space="preserve"> </w:t>
      </w:r>
      <w:r>
        <w:rPr>
          <w:rFonts w:ascii="Arial" w:hAnsi="Arial"/>
          <w:color w:val="000000"/>
          <w:sz w:val="13"/>
        </w:rPr>
        <w:t>("Landlord"),</w:t>
      </w:r>
      <w:r>
        <w:rPr>
          <w:rFonts w:ascii="Times New Roman" w:hAnsi="Times New Roman"/>
          <w:color w:val="000000"/>
          <w:sz w:val="20"/>
        </w:rPr>
        <w:t xml:space="preserve"> </w:t>
      </w:r>
      <w:r>
        <w:rPr>
          <w:rFonts w:ascii="Arial" w:hAnsi="Arial"/>
          <w:color w:val="000000"/>
          <w:sz w:val="13"/>
        </w:rPr>
        <w:t>dated</w:t>
      </w:r>
      <w:r>
        <w:rPr>
          <w:rFonts w:ascii="Times New Roman" w:hAnsi="Times New Roman"/>
          <w:color w:val="000000"/>
          <w:sz w:val="20"/>
        </w:rPr>
        <w:t xml:space="preserve"> </w:t>
      </w:r>
      <w:r>
        <w:rPr>
          <w:rFonts w:ascii="Arial" w:hAnsi="Arial"/>
          <w:color w:val="000000"/>
          <w:sz w:val="13"/>
        </w:rPr>
        <w:t>December</w:t>
      </w:r>
      <w:r>
        <w:rPr>
          <w:rFonts w:ascii="Times New Roman" w:hAnsi="Times New Roman"/>
          <w:color w:val="000000"/>
          <w:sz w:val="20"/>
        </w:rPr>
        <w:t xml:space="preserve"> </w:t>
      </w:r>
      <w:r>
        <w:rPr>
          <w:rFonts w:ascii="Arial" w:hAnsi="Arial"/>
          <w:color w:val="000000"/>
          <w:sz w:val="13"/>
        </w:rPr>
        <w:t>19,</w:t>
      </w:r>
      <w:r>
        <w:rPr>
          <w:rFonts w:ascii="Times New Roman" w:hAnsi="Times New Roman"/>
          <w:color w:val="000000"/>
          <w:sz w:val="20"/>
        </w:rPr>
        <w:t xml:space="preserve"> </w:t>
      </w:r>
      <w:r>
        <w:rPr>
          <w:rFonts w:ascii="Arial" w:hAnsi="Arial"/>
          <w:color w:val="000000"/>
          <w:sz w:val="13"/>
        </w:rPr>
        <w:t>2019,</w:t>
      </w:r>
      <w:r>
        <w:rPr>
          <w:rFonts w:ascii="Times New Roman" w:hAnsi="Times New Roman"/>
          <w:color w:val="000000"/>
          <w:sz w:val="20"/>
        </w:rPr>
        <w:t xml:space="preserve"> </w:t>
      </w:r>
      <w:r>
        <w:rPr>
          <w:rFonts w:ascii="Arial" w:hAnsi="Arial"/>
          <w:color w:val="000000"/>
          <w:sz w:val="13"/>
        </w:rPr>
        <w:t>as</w:t>
      </w:r>
      <w:r>
        <w:rPr>
          <w:rFonts w:ascii="Times New Roman" w:hAnsi="Times New Roman"/>
          <w:color w:val="000000"/>
          <w:sz w:val="20"/>
        </w:rPr>
        <w:t xml:space="preserve"> </w:t>
      </w:r>
      <w:r>
        <w:rPr>
          <w:rFonts w:ascii="Arial" w:hAnsi="Arial"/>
          <w:color w:val="000000"/>
          <w:sz w:val="13"/>
        </w:rPr>
        <w:t>amended</w:t>
      </w:r>
    </w:p>
    <w:p>
      <w:pPr>
        <w:pStyle w:val="TextBody"/>
        <w:bidi w:val="0"/>
        <w:spacing w:before="23" w:after="283"/>
        <w:jc w:val="left"/>
        <w:rPr>
          <w:rFonts w:ascii="Times New Roman" w:hAnsi="Times New Roman"/>
          <w:sz w:val="20"/>
        </w:rPr>
      </w:pPr>
      <w:r>
        <w:rPr>
          <w:rFonts w:ascii="Arial" w:hAnsi="Arial"/>
          <w:color w:val="000000"/>
          <w:sz w:val="13"/>
        </w:rPr>
        <w:t>(the</w:t>
      </w:r>
      <w:r>
        <w:rPr>
          <w:rFonts w:ascii="Times New Roman" w:hAnsi="Times New Roman"/>
          <w:color w:val="000000"/>
          <w:sz w:val="20"/>
        </w:rPr>
        <w:t xml:space="preserve"> “</w:t>
      </w:r>
      <w:r>
        <w:rPr>
          <w:rFonts w:ascii="Arial" w:hAnsi="Arial"/>
          <w:color w:val="000000"/>
          <w:sz w:val="13"/>
        </w:rPr>
        <w:t>Lease”)</w:t>
      </w:r>
    </w:p>
    <w:p>
      <w:pPr>
        <w:pStyle w:val="TextBody"/>
        <w:bidi w:val="0"/>
        <w:spacing w:before="200" w:after="283"/>
        <w:jc w:val="left"/>
        <w:rPr>
          <w:rFonts w:ascii="Times New Roman" w:hAnsi="Times New Roman"/>
          <w:sz w:val="20"/>
        </w:rPr>
      </w:pPr>
      <w:r>
        <w:rPr>
          <w:rFonts w:ascii="Arial" w:hAnsi="Arial"/>
          <w:color w:val="000000"/>
          <w:sz w:val="13"/>
        </w:rPr>
        <w:t>Pursuant</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the</w:t>
      </w:r>
      <w:r>
        <w:rPr>
          <w:rFonts w:ascii="Times New Roman" w:hAnsi="Times New Roman"/>
          <w:color w:val="000000"/>
          <w:sz w:val="20"/>
        </w:rPr>
        <w:t xml:space="preserve"> </w:t>
      </w:r>
      <w:r>
        <w:rPr>
          <w:rFonts w:ascii="Arial" w:hAnsi="Arial"/>
          <w:color w:val="000000"/>
          <w:sz w:val="13"/>
        </w:rPr>
        <w:t>Lease,</w:t>
      </w:r>
      <w:r>
        <w:rPr>
          <w:rFonts w:ascii="Times New Roman" w:hAnsi="Times New Roman"/>
          <w:color w:val="000000"/>
          <w:sz w:val="20"/>
        </w:rPr>
        <w:t xml:space="preserve"> </w:t>
      </w: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has</w:t>
      </w:r>
      <w:r>
        <w:rPr>
          <w:rFonts w:ascii="Times New Roman" w:hAnsi="Times New Roman"/>
          <w:color w:val="000000"/>
          <w:sz w:val="20"/>
        </w:rPr>
        <w:t xml:space="preserve"> </w:t>
      </w:r>
      <w:r>
        <w:rPr>
          <w:rFonts w:ascii="Arial" w:hAnsi="Arial"/>
          <w:color w:val="000000"/>
          <w:sz w:val="13"/>
        </w:rPr>
        <w:t>requested</w:t>
      </w:r>
      <w:r>
        <w:rPr>
          <w:rFonts w:ascii="Times New Roman" w:hAnsi="Times New Roman"/>
          <w:color w:val="000000"/>
          <w:sz w:val="20"/>
        </w:rPr>
        <w:t xml:space="preserve"> </w:t>
      </w:r>
      <w:r>
        <w:rPr>
          <w:rFonts w:ascii="Arial" w:hAnsi="Arial"/>
          <w:color w:val="000000"/>
          <w:sz w:val="13"/>
        </w:rPr>
        <w:t>modifications</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the</w:t>
      </w:r>
      <w:r>
        <w:rPr>
          <w:rFonts w:ascii="Times New Roman" w:hAnsi="Times New Roman"/>
          <w:color w:val="000000"/>
          <w:sz w:val="20"/>
        </w:rPr>
        <w:t xml:space="preserve"> </w:t>
      </w:r>
      <w:r>
        <w:rPr>
          <w:rFonts w:ascii="Arial" w:hAnsi="Arial"/>
          <w:color w:val="000000"/>
          <w:sz w:val="13"/>
        </w:rPr>
        <w:t>Base</w:t>
      </w:r>
      <w:r>
        <w:rPr>
          <w:rFonts w:ascii="Times New Roman" w:hAnsi="Times New Roman"/>
          <w:color w:val="000000"/>
          <w:sz w:val="20"/>
        </w:rPr>
        <w:t xml:space="preserve"> </w:t>
      </w:r>
      <w:r>
        <w:rPr>
          <w:rFonts w:ascii="Arial" w:hAnsi="Arial"/>
          <w:color w:val="000000"/>
          <w:sz w:val="13"/>
        </w:rPr>
        <w:t>Building</w:t>
      </w:r>
      <w:r>
        <w:rPr>
          <w:rFonts w:ascii="Times New Roman" w:hAnsi="Times New Roman"/>
          <w:color w:val="000000"/>
          <w:sz w:val="20"/>
        </w:rPr>
        <w:t xml:space="preserve"> </w:t>
      </w:r>
      <w:r>
        <w:rPr>
          <w:rFonts w:ascii="Arial" w:hAnsi="Arial"/>
          <w:color w:val="000000"/>
          <w:sz w:val="13"/>
        </w:rPr>
        <w:t>Plans</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Specifications</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accomodate</w:t>
      </w:r>
      <w:r>
        <w:rPr>
          <w:rFonts w:ascii="Times New Roman" w:hAnsi="Times New Roman"/>
          <w:color w:val="000000"/>
          <w:sz w:val="20"/>
        </w:rPr>
        <w:t xml:space="preserve"> </w:t>
      </w:r>
      <w:r>
        <w:rPr>
          <w:rFonts w:ascii="Arial" w:hAnsi="Arial"/>
          <w:color w:val="000000"/>
          <w:sz w:val="13"/>
        </w:rPr>
        <w:t>Tenant's</w:t>
      </w:r>
      <w:r>
        <w:rPr>
          <w:rFonts w:ascii="Times New Roman" w:hAnsi="Times New Roman"/>
          <w:color w:val="000000"/>
          <w:sz w:val="20"/>
        </w:rPr>
        <w:t xml:space="preserve"> </w:t>
      </w:r>
      <w:r>
        <w:rPr>
          <w:rFonts w:ascii="Arial" w:hAnsi="Arial"/>
          <w:color w:val="000000"/>
          <w:sz w:val="13"/>
        </w:rPr>
        <w:t>design</w:t>
      </w:r>
      <w:r>
        <w:rPr>
          <w:rFonts w:ascii="Times New Roman" w:hAnsi="Times New Roman"/>
          <w:color w:val="000000"/>
          <w:sz w:val="20"/>
        </w:rPr>
        <w:t xml:space="preserve"> </w:t>
      </w:r>
      <w:r>
        <w:rPr>
          <w:rFonts w:ascii="Arial" w:hAnsi="Arial"/>
          <w:color w:val="000000"/>
          <w:sz w:val="13"/>
        </w:rPr>
        <w:t>of</w:t>
      </w:r>
      <w:r>
        <w:rPr>
          <w:rFonts w:ascii="Times New Roman" w:hAnsi="Times New Roman"/>
          <w:color w:val="000000"/>
          <w:sz w:val="20"/>
        </w:rPr>
        <w:t xml:space="preserve"> </w:t>
      </w:r>
      <w:r>
        <w:rPr>
          <w:rFonts w:ascii="Arial" w:hAnsi="Arial"/>
          <w:color w:val="000000"/>
          <w:sz w:val="13"/>
        </w:rPr>
        <w:t>Tenant's</w:t>
      </w:r>
      <w:r>
        <w:rPr>
          <w:rFonts w:ascii="Times New Roman" w:hAnsi="Times New Roman"/>
          <w:color w:val="000000"/>
          <w:sz w:val="20"/>
        </w:rPr>
        <w:t xml:space="preserve"> </w:t>
      </w:r>
      <w:r>
        <w:rPr>
          <w:rFonts w:ascii="Arial" w:hAnsi="Arial"/>
          <w:color w:val="000000"/>
          <w:sz w:val="13"/>
        </w:rPr>
        <w:t>Work,</w:t>
      </w:r>
      <w:r>
        <w:rPr>
          <w:rFonts w:ascii="Times New Roman" w:hAnsi="Times New Roman"/>
          <w:color w:val="000000"/>
          <w:sz w:val="20"/>
        </w:rPr>
        <w:t xml:space="preserve"> </w:t>
      </w:r>
      <w:r>
        <w:rPr>
          <w:rFonts w:ascii="Arial" w:hAnsi="Arial"/>
          <w:color w:val="000000"/>
          <w:sz w:val="13"/>
        </w:rPr>
        <w:t>which</w:t>
      </w:r>
      <w:r>
        <w:rPr>
          <w:rFonts w:ascii="Times New Roman" w:hAnsi="Times New Roman"/>
          <w:color w:val="000000"/>
          <w:sz w:val="20"/>
        </w:rPr>
        <w:t xml:space="preserve"> </w:t>
      </w:r>
      <w:r>
        <w:rPr>
          <w:rFonts w:ascii="Arial" w:hAnsi="Arial"/>
          <w:color w:val="000000"/>
          <w:sz w:val="13"/>
        </w:rPr>
        <w:t>request</w:t>
      </w:r>
      <w:r>
        <w:rPr>
          <w:rFonts w:ascii="Times New Roman" w:hAnsi="Times New Roman"/>
          <w:color w:val="000000"/>
          <w:sz w:val="20"/>
        </w:rPr>
        <w:t xml:space="preserve"> </w:t>
      </w:r>
      <w:r>
        <w:rPr>
          <w:rFonts w:ascii="Arial" w:hAnsi="Arial"/>
          <w:color w:val="000000"/>
          <w:sz w:val="13"/>
        </w:rPr>
        <w:t>requires</w:t>
      </w:r>
      <w:r>
        <w:rPr>
          <w:rFonts w:ascii="Times New Roman" w:hAnsi="Times New Roman"/>
          <w:color w:val="000000"/>
          <w:sz w:val="20"/>
        </w:rPr>
        <w:t xml:space="preserve"> </w:t>
      </w:r>
      <w:r>
        <w:rPr>
          <w:rFonts w:ascii="Arial" w:hAnsi="Arial"/>
          <w:color w:val="000000"/>
          <w:sz w:val="13"/>
        </w:rPr>
        <w:t>this</w:t>
      </w:r>
      <w:r>
        <w:rPr>
          <w:rFonts w:ascii="Times New Roman" w:hAnsi="Times New Roman"/>
          <w:color w:val="000000"/>
          <w:sz w:val="20"/>
        </w:rPr>
        <w:t xml:space="preserve"> </w:t>
      </w:r>
      <w:r>
        <w:rPr>
          <w:rFonts w:ascii="Arial" w:hAnsi="Arial"/>
          <w:color w:val="000000"/>
          <w:sz w:val="13"/>
        </w:rPr>
        <w:t>change</w:t>
      </w:r>
      <w:r>
        <w:rPr>
          <w:rFonts w:ascii="Times New Roman" w:hAnsi="Times New Roman"/>
          <w:color w:val="000000"/>
          <w:sz w:val="20"/>
        </w:rPr>
        <w:t xml:space="preserve"> </w:t>
      </w:r>
      <w:r>
        <w:rPr>
          <w:rFonts w:ascii="Arial" w:hAnsi="Arial"/>
          <w:color w:val="000000"/>
          <w:sz w:val="13"/>
        </w:rPr>
        <w:t>order</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such</w:t>
      </w:r>
      <w:r>
        <w:rPr>
          <w:rFonts w:ascii="Times New Roman" w:hAnsi="Times New Roman"/>
          <w:color w:val="000000"/>
          <w:sz w:val="20"/>
        </w:rPr>
        <w:t xml:space="preserve"> </w:t>
      </w:r>
      <w:r>
        <w:rPr>
          <w:rFonts w:ascii="Arial" w:hAnsi="Arial"/>
          <w:color w:val="000000"/>
          <w:sz w:val="13"/>
        </w:rPr>
        <w:t>plans</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specifications.</w:t>
      </w:r>
      <w:r>
        <w:rPr>
          <w:rFonts w:ascii="Times New Roman" w:hAnsi="Times New Roman"/>
          <w:color w:val="000000"/>
          <w:sz w:val="20"/>
        </w:rPr>
        <w:t xml:space="preserve"> </w:t>
      </w:r>
      <w:r>
        <w:rPr>
          <w:rFonts w:ascii="Arial" w:hAnsi="Arial"/>
          <w:color w:val="000000"/>
          <w:sz w:val="13"/>
        </w:rPr>
        <w:t>The</w:t>
      </w:r>
      <w:r>
        <w:rPr>
          <w:rFonts w:ascii="Times New Roman" w:hAnsi="Times New Roman"/>
          <w:color w:val="000000"/>
          <w:sz w:val="20"/>
        </w:rPr>
        <w:t xml:space="preserve"> </w:t>
      </w:r>
      <w:r>
        <w:rPr>
          <w:rFonts w:ascii="Arial" w:hAnsi="Arial"/>
          <w:color w:val="000000"/>
          <w:sz w:val="13"/>
        </w:rPr>
        <w:t>work</w:t>
      </w:r>
      <w:r>
        <w:rPr>
          <w:rFonts w:ascii="Times New Roman" w:hAnsi="Times New Roman"/>
          <w:color w:val="000000"/>
          <w:sz w:val="20"/>
        </w:rPr>
        <w:t xml:space="preserve"> </w:t>
      </w:r>
      <w:r>
        <w:rPr>
          <w:rFonts w:ascii="Arial" w:hAnsi="Arial"/>
          <w:color w:val="000000"/>
          <w:sz w:val="13"/>
        </w:rPr>
        <w:t>to</w:t>
      </w:r>
      <w:r>
        <w:rPr>
          <w:rFonts w:ascii="Times New Roman" w:hAnsi="Times New Roman"/>
          <w:color w:val="000000"/>
          <w:sz w:val="20"/>
        </w:rPr>
        <w:t xml:space="preserve"> </w:t>
      </w:r>
      <w:r>
        <w:rPr>
          <w:rFonts w:ascii="Arial" w:hAnsi="Arial"/>
          <w:color w:val="000000"/>
          <w:sz w:val="13"/>
        </w:rPr>
        <w:t>be</w:t>
      </w:r>
      <w:r>
        <w:rPr>
          <w:rFonts w:ascii="Times New Roman" w:hAnsi="Times New Roman"/>
          <w:color w:val="000000"/>
          <w:sz w:val="20"/>
        </w:rPr>
        <w:t xml:space="preserve"> </w:t>
      </w:r>
      <w:r>
        <w:rPr>
          <w:rFonts w:ascii="Arial" w:hAnsi="Arial"/>
          <w:color w:val="000000"/>
          <w:sz w:val="13"/>
        </w:rPr>
        <w:t>performed</w:t>
      </w:r>
      <w:r>
        <w:rPr>
          <w:rFonts w:ascii="Times New Roman" w:hAnsi="Times New Roman"/>
          <w:color w:val="000000"/>
          <w:sz w:val="20"/>
        </w:rPr>
        <w:t xml:space="preserve"> </w:t>
      </w:r>
      <w:r>
        <w:rPr>
          <w:rFonts w:ascii="Arial" w:hAnsi="Arial"/>
          <w:color w:val="000000"/>
          <w:sz w:val="13"/>
        </w:rPr>
        <w:t>as</w:t>
      </w:r>
      <w:r>
        <w:rPr>
          <w:rFonts w:ascii="Times New Roman" w:hAnsi="Times New Roman"/>
          <w:color w:val="000000"/>
          <w:sz w:val="20"/>
        </w:rPr>
        <w:t xml:space="preserve"> </w:t>
      </w:r>
      <w:r>
        <w:rPr>
          <w:rFonts w:ascii="Arial" w:hAnsi="Arial"/>
          <w:color w:val="000000"/>
          <w:sz w:val="13"/>
        </w:rPr>
        <w:t>a</w:t>
      </w:r>
      <w:r>
        <w:rPr>
          <w:rFonts w:ascii="Times New Roman" w:hAnsi="Times New Roman"/>
          <w:color w:val="000000"/>
          <w:sz w:val="20"/>
        </w:rPr>
        <w:t xml:space="preserve"> </w:t>
      </w:r>
      <w:r>
        <w:rPr>
          <w:rFonts w:ascii="Arial" w:hAnsi="Arial"/>
          <w:color w:val="000000"/>
          <w:sz w:val="13"/>
        </w:rPr>
        <w:t>result</w:t>
      </w:r>
      <w:r>
        <w:rPr>
          <w:rFonts w:ascii="Times New Roman" w:hAnsi="Times New Roman"/>
          <w:color w:val="000000"/>
          <w:sz w:val="20"/>
        </w:rPr>
        <w:t xml:space="preserve"> </w:t>
      </w:r>
      <w:r>
        <w:rPr>
          <w:rFonts w:ascii="Arial" w:hAnsi="Arial"/>
          <w:color w:val="000000"/>
          <w:sz w:val="13"/>
        </w:rPr>
        <w:t>of</w:t>
      </w:r>
      <w:r>
        <w:rPr>
          <w:rFonts w:ascii="Times New Roman" w:hAnsi="Times New Roman"/>
          <w:color w:val="000000"/>
          <w:sz w:val="20"/>
        </w:rPr>
        <w:t xml:space="preserve"> </w:t>
      </w:r>
      <w:r>
        <w:rPr>
          <w:rFonts w:ascii="Arial" w:hAnsi="Arial"/>
          <w:color w:val="000000"/>
          <w:sz w:val="13"/>
        </w:rPr>
        <w:t>this</w:t>
      </w:r>
      <w:r>
        <w:rPr>
          <w:rFonts w:ascii="Times New Roman" w:hAnsi="Times New Roman"/>
          <w:color w:val="000000"/>
          <w:sz w:val="20"/>
        </w:rPr>
        <w:t xml:space="preserve"> </w:t>
      </w:r>
      <w:r>
        <w:rPr>
          <w:rFonts w:ascii="Arial" w:hAnsi="Arial"/>
          <w:color w:val="000000"/>
          <w:sz w:val="13"/>
        </w:rPr>
        <w:t>change</w:t>
      </w:r>
      <w:r>
        <w:rPr>
          <w:rFonts w:ascii="Times New Roman" w:hAnsi="Times New Roman"/>
          <w:color w:val="000000"/>
          <w:sz w:val="20"/>
        </w:rPr>
        <w:t xml:space="preserve"> </w:t>
      </w:r>
      <w:r>
        <w:rPr>
          <w:rFonts w:ascii="Arial" w:hAnsi="Arial"/>
          <w:color w:val="000000"/>
          <w:sz w:val="13"/>
        </w:rPr>
        <w:t>order</w:t>
      </w:r>
      <w:r>
        <w:rPr>
          <w:rFonts w:ascii="Times New Roman" w:hAnsi="Times New Roman"/>
          <w:color w:val="000000"/>
          <w:sz w:val="20"/>
        </w:rPr>
        <w:t xml:space="preserve"> </w:t>
      </w:r>
      <w:r>
        <w:rPr>
          <w:rFonts w:ascii="Arial" w:hAnsi="Arial"/>
          <w:color w:val="000000"/>
          <w:sz w:val="13"/>
        </w:rPr>
        <w:t>is</w:t>
      </w:r>
      <w:r>
        <w:rPr>
          <w:rFonts w:ascii="Times New Roman" w:hAnsi="Times New Roman"/>
          <w:color w:val="000000"/>
          <w:sz w:val="20"/>
        </w:rPr>
        <w:t xml:space="preserve"> </w:t>
      </w:r>
      <w:r>
        <w:rPr>
          <w:rFonts w:ascii="Arial" w:hAnsi="Arial"/>
          <w:color w:val="000000"/>
          <w:sz w:val="13"/>
        </w:rPr>
        <w:t>summarized</w:t>
      </w:r>
      <w:r>
        <w:rPr>
          <w:rFonts w:ascii="Times New Roman" w:hAnsi="Times New Roman"/>
          <w:color w:val="000000"/>
          <w:sz w:val="20"/>
        </w:rPr>
        <w:t xml:space="preserve"> </w:t>
      </w:r>
      <w:r>
        <w:rPr>
          <w:rFonts w:ascii="Arial" w:hAnsi="Arial"/>
          <w:color w:val="000000"/>
          <w:sz w:val="13"/>
        </w:rPr>
        <w:t>as</w:t>
      </w:r>
      <w:r>
        <w:rPr>
          <w:rFonts w:ascii="Times New Roman" w:hAnsi="Times New Roman"/>
          <w:color w:val="000000"/>
          <w:sz w:val="20"/>
        </w:rPr>
        <w:t xml:space="preserve"> </w:t>
      </w:r>
      <w:r>
        <w:rPr>
          <w:rFonts w:ascii="Arial" w:hAnsi="Arial"/>
          <w:color w:val="000000"/>
          <w:sz w:val="13"/>
        </w:rPr>
        <w:t>follows</w:t>
      </w:r>
      <w:r>
        <w:rPr>
          <w:rFonts w:ascii="Times New Roman" w:hAnsi="Times New Roman"/>
          <w:color w:val="000000"/>
          <w:sz w:val="20"/>
        </w:rPr>
        <w:t xml:space="preserve"> </w:t>
      </w:r>
      <w:r>
        <w:rPr>
          <w:rFonts w:ascii="Arial" w:hAnsi="Arial"/>
          <w:color w:val="000000"/>
          <w:sz w:val="13"/>
        </w:rPr>
        <w:t>and</w:t>
      </w:r>
      <w:r>
        <w:rPr>
          <w:rFonts w:ascii="Times New Roman" w:hAnsi="Times New Roman"/>
          <w:color w:val="000000"/>
          <w:sz w:val="20"/>
        </w:rPr>
        <w:t xml:space="preserve"> </w:t>
      </w:r>
      <w:r>
        <w:rPr>
          <w:rFonts w:ascii="Arial" w:hAnsi="Arial"/>
          <w:color w:val="000000"/>
          <w:sz w:val="13"/>
        </w:rPr>
        <w:t>described</w:t>
      </w:r>
      <w:r>
        <w:rPr>
          <w:rFonts w:ascii="Times New Roman" w:hAnsi="Times New Roman"/>
          <w:color w:val="000000"/>
          <w:sz w:val="20"/>
        </w:rPr>
        <w:t xml:space="preserve"> </w:t>
      </w:r>
      <w:r>
        <w:rPr>
          <w:rFonts w:ascii="Arial" w:hAnsi="Arial"/>
          <w:color w:val="000000"/>
          <w:sz w:val="13"/>
        </w:rPr>
        <w:t>in</w:t>
      </w:r>
      <w:r>
        <w:rPr>
          <w:rFonts w:ascii="Times New Roman" w:hAnsi="Times New Roman"/>
          <w:color w:val="000000"/>
          <w:sz w:val="20"/>
        </w:rPr>
        <w:t xml:space="preserve"> </w:t>
      </w:r>
      <w:r>
        <w:rPr>
          <w:rFonts w:ascii="Arial" w:hAnsi="Arial"/>
          <w:color w:val="000000"/>
          <w:sz w:val="13"/>
        </w:rPr>
        <w:t>more</w:t>
      </w:r>
      <w:r>
        <w:rPr>
          <w:rFonts w:ascii="Times New Roman" w:hAnsi="Times New Roman"/>
          <w:color w:val="000000"/>
          <w:sz w:val="20"/>
        </w:rPr>
        <w:t xml:space="preserve"> </w:t>
      </w:r>
      <w:r>
        <w:rPr>
          <w:rFonts w:ascii="Arial" w:hAnsi="Arial"/>
          <w:color w:val="000000"/>
          <w:sz w:val="13"/>
        </w:rPr>
        <w:t>detail</w:t>
      </w:r>
      <w:r>
        <w:rPr>
          <w:rFonts w:ascii="Times New Roman" w:hAnsi="Times New Roman"/>
          <w:color w:val="000000"/>
          <w:sz w:val="20"/>
        </w:rPr>
        <w:t xml:space="preserve"> </w:t>
      </w:r>
      <w:r>
        <w:rPr>
          <w:rFonts w:ascii="Arial" w:hAnsi="Arial"/>
          <w:color w:val="000000"/>
          <w:sz w:val="13"/>
        </w:rPr>
        <w:t>on</w:t>
      </w:r>
      <w:r>
        <w:rPr>
          <w:rFonts w:ascii="Times New Roman" w:hAnsi="Times New Roman"/>
          <w:color w:val="000000"/>
          <w:sz w:val="20"/>
        </w:rPr>
        <w:t xml:space="preserve"> </w:t>
      </w:r>
      <w:r>
        <w:rPr>
          <w:rFonts w:ascii="Arial" w:hAnsi="Arial"/>
          <w:color w:val="000000"/>
          <w:sz w:val="13"/>
        </w:rPr>
        <w:t>Exhibit</w:t>
      </w:r>
      <w:r>
        <w:rPr>
          <w:rFonts w:ascii="Times New Roman" w:hAnsi="Times New Roman"/>
          <w:color w:val="000000"/>
          <w:sz w:val="20"/>
        </w:rPr>
        <w:t xml:space="preserve"> </w:t>
      </w:r>
      <w:r>
        <w:rPr>
          <w:rFonts w:ascii="Arial" w:hAnsi="Arial"/>
          <w:color w:val="000000"/>
          <w:sz w:val="13"/>
        </w:rPr>
        <w:t>A</w:t>
      </w:r>
      <w:r>
        <w:rPr>
          <w:rFonts w:ascii="Times New Roman" w:hAnsi="Times New Roman"/>
          <w:color w:val="000000"/>
          <w:sz w:val="20"/>
        </w:rPr>
        <w:t xml:space="preserve"> </w:t>
      </w:r>
      <w:r>
        <w:rPr>
          <w:rFonts w:ascii="Arial" w:hAnsi="Arial"/>
          <w:color w:val="000000"/>
          <w:sz w:val="13"/>
        </w:rPr>
        <w:t>attached</w:t>
      </w:r>
      <w:r>
        <w:rPr>
          <w:rFonts w:ascii="Times New Roman" w:hAnsi="Times New Roman"/>
          <w:color w:val="000000"/>
          <w:sz w:val="20"/>
        </w:rPr>
        <w:t xml:space="preserve"> </w:t>
      </w:r>
      <w:r>
        <w:rPr>
          <w:rFonts w:ascii="Arial" w:hAnsi="Arial"/>
          <w:color w:val="000000"/>
          <w:sz w:val="13"/>
        </w:rPr>
        <w:t>hereto: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
        <w:gridCol w:w="1276"/>
        <w:gridCol w:w="6457"/>
        <w:gridCol w:w="1076"/>
        <w:gridCol w:w="689"/>
      </w:tblGrid>
      <w:tr>
        <w:trPr/>
        <w:tc>
          <w:tcPr>
            <w:tcW w:w="70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45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707" w:type="dxa"/>
            <w:tcBorders>
              <w:top w:val="single" w:sz="6" w:space="0" w:color="000000"/>
              <w:left w:val="single" w:sz="6" w:space="0" w:color="000000"/>
              <w:bottom w:val="single" w:sz="6" w:space="0" w:color="000000"/>
            </w:tcBorders>
            <w:shd w:fill="D0CECE" w:val="clear"/>
            <w:tcMar>
              <w:right w:w="0" w:type="dxa"/>
            </w:tcMar>
            <w:vAlign w:val="center"/>
          </w:tcPr>
          <w:p>
            <w:pPr>
              <w:pStyle w:val="TableContents"/>
              <w:bidi w:val="0"/>
              <w:spacing w:before="0" w:after="283"/>
              <w:ind w:left="0" w:right="0" w:firstLine="286"/>
              <w:jc w:val="center"/>
              <w:rPr>
                <w:rFonts w:ascii="Arial" w:hAnsi="Arial"/>
                <w:color w:val="000000"/>
                <w:sz w:val="15"/>
              </w:rPr>
            </w:pPr>
            <w:r>
              <w:rPr>
                <w:rFonts w:ascii="Arial" w:hAnsi="Arial"/>
                <w:color w:val="000000"/>
                <w:sz w:val="15"/>
              </w:rPr>
              <w:t>Item</w:t>
            </w:r>
          </w:p>
        </w:tc>
        <w:tc>
          <w:tcPr>
            <w:tcW w:w="7733" w:type="dxa"/>
            <w:gridSpan w:val="2"/>
            <w:tcBorders>
              <w:top w:val="single" w:sz="6" w:space="0" w:color="000000"/>
              <w:bottom w:val="single" w:sz="6" w:space="0" w:color="000000"/>
            </w:tcBorders>
            <w:shd w:fill="D0CECE" w:val="clear"/>
            <w:tcMar>
              <w:left w:w="0" w:type="dxa"/>
              <w:right w:w="0" w:type="dxa"/>
            </w:tcMar>
            <w:vAlign w:val="center"/>
          </w:tcPr>
          <w:p>
            <w:pPr>
              <w:pStyle w:val="TableContents"/>
              <w:bidi w:val="0"/>
              <w:spacing w:before="0" w:after="283"/>
              <w:ind w:left="286" w:right="0" w:firstLine="286"/>
              <w:jc w:val="left"/>
              <w:rPr>
                <w:rFonts w:ascii="Arial" w:hAnsi="Arial"/>
                <w:color w:val="000000"/>
                <w:sz w:val="15"/>
              </w:rPr>
            </w:pPr>
            <w:r>
              <w:rPr>
                <w:rFonts w:ascii="Arial" w:hAnsi="Arial"/>
                <w:color w:val="000000"/>
                <w:sz w:val="15"/>
              </w:rPr>
              <w:t>Description</w:t>
            </w:r>
          </w:p>
        </w:tc>
        <w:tc>
          <w:tcPr>
            <w:tcW w:w="1076" w:type="dxa"/>
            <w:tcBorders>
              <w:top w:val="single" w:sz="6" w:space="0" w:color="000000"/>
              <w:bottom w:val="single" w:sz="6" w:space="0" w:color="000000"/>
              <w:right w:val="single" w:sz="6" w:space="0" w:color="000000"/>
            </w:tcBorders>
            <w:shd w:fill="D0CECE" w:val="clear"/>
            <w:tcMar>
              <w:lef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Amount</w:t>
            </w:r>
          </w:p>
        </w:tc>
        <w:tc>
          <w:tcPr>
            <w:tcW w:w="689" w:type="dxa"/>
            <w:tcBorders>
              <w:top w:val="single" w:sz="6" w:space="0" w:color="000000"/>
            </w:tcBorders>
            <w:tcMar>
              <w:left w:w="0" w:type="dxa"/>
              <w:bottom w:w="0" w:type="dxa"/>
              <w:right w:w="0" w:type="dxa"/>
            </w:tcMar>
            <w:vAlign w:val="center"/>
          </w:tcPr>
          <w:p>
            <w:pPr>
              <w:pStyle w:val="TableContents"/>
              <w:bidi w:val="0"/>
              <w:spacing w:before="0" w:after="283"/>
              <w:ind w:left="126" w:right="0" w:hanging="0"/>
              <w:jc w:val="center"/>
              <w:rPr/>
            </w:pPr>
            <w:r>
              <w:rPr/>
              <w:t> </w:t>
            </w:r>
          </w:p>
        </w:tc>
      </w:tr>
      <w:tr>
        <w:trPr/>
        <w:tc>
          <w:tcPr>
            <w:tcW w:w="707" w:type="dxa"/>
            <w:tcBorders>
              <w:left w:val="single" w:sz="6" w:space="0" w:color="000000"/>
              <w:bottom w:val="single" w:sz="6" w:space="0" w:color="ADA9A9"/>
            </w:tcBorders>
            <w:tcMar>
              <w:top w:w="0" w:type="dxa"/>
              <w:right w:w="0" w:type="dxa"/>
            </w:tcMar>
            <w:vAlign w:val="center"/>
          </w:tcPr>
          <w:p>
            <w:pPr>
              <w:pStyle w:val="TableContents"/>
              <w:bidi w:val="0"/>
              <w:spacing w:before="0" w:after="283"/>
              <w:ind w:left="0" w:right="0" w:firstLine="291"/>
              <w:jc w:val="center"/>
              <w:rPr>
                <w:rFonts w:ascii="Arial" w:hAnsi="Arial"/>
                <w:color w:val="000000"/>
                <w:sz w:val="15"/>
              </w:rPr>
            </w:pPr>
            <w:r>
              <w:rPr>
                <w:rFonts w:ascii="Arial" w:hAnsi="Arial"/>
                <w:color w:val="000000"/>
                <w:sz w:val="15"/>
              </w:rPr>
              <w:t>1</w:t>
            </w:r>
          </w:p>
        </w:tc>
        <w:tc>
          <w:tcPr>
            <w:tcW w:w="7733" w:type="dxa"/>
            <w:gridSpan w:val="2"/>
            <w:tcBorders>
              <w:bottom w:val="single" w:sz="6" w:space="0" w:color="ADA9A9"/>
            </w:tcBorders>
            <w:tcMar>
              <w:top w:w="0" w:type="dxa"/>
              <w:left w:w="0" w:type="dxa"/>
              <w:right w:w="0" w:type="dxa"/>
            </w:tcMar>
            <w:vAlign w:val="center"/>
          </w:tcPr>
          <w:p>
            <w:pPr>
              <w:pStyle w:val="TableContents"/>
              <w:bidi w:val="0"/>
              <w:spacing w:before="74" w:after="283"/>
              <w:ind w:left="291" w:right="191" w:firstLine="291"/>
              <w:jc w:val="left"/>
              <w:rPr>
                <w:rFonts w:ascii="Times New Roman" w:hAnsi="Times New Roman"/>
                <w:sz w:val="16"/>
              </w:rPr>
            </w:pPr>
            <w:r>
              <w:rPr>
                <w:rFonts w:ascii="Arial" w:hAnsi="Arial"/>
                <w:color w:val="000000"/>
                <w:sz w:val="16"/>
                <w:u w:val="single"/>
              </w:rPr>
              <w:t>Landlord</w:t>
            </w:r>
            <w:r>
              <w:rPr>
                <w:rFonts w:ascii="Times New Roman" w:hAnsi="Times New Roman"/>
                <w:color w:val="000000"/>
                <w:sz w:val="16"/>
                <w:u w:val="single"/>
              </w:rPr>
              <w:t xml:space="preserve"> </w:t>
            </w:r>
            <w:r>
              <w:rPr>
                <w:rFonts w:ascii="Arial" w:hAnsi="Arial"/>
                <w:color w:val="000000"/>
                <w:sz w:val="16"/>
                <w:u w:val="single"/>
              </w:rPr>
              <w:t>Credit</w:t>
            </w:r>
            <w:r>
              <w:rPr>
                <w:rFonts w:ascii="Times New Roman" w:hAnsi="Times New Roman"/>
                <w:color w:val="000000"/>
                <w:sz w:val="16"/>
                <w:u w:val="single"/>
              </w:rPr>
              <w:t xml:space="preserve"> </w:t>
            </w:r>
            <w:r>
              <w:rPr>
                <w:rFonts w:ascii="Arial" w:hAnsi="Arial"/>
                <w:color w:val="000000"/>
                <w:sz w:val="16"/>
                <w:u w:val="single"/>
              </w:rPr>
              <w:t>for</w:t>
            </w:r>
            <w:r>
              <w:rPr>
                <w:rFonts w:ascii="Times New Roman" w:hAnsi="Times New Roman"/>
                <w:color w:val="000000"/>
                <w:sz w:val="16"/>
                <w:u w:val="single"/>
              </w:rPr>
              <w:t xml:space="preserve"> </w:t>
            </w:r>
            <w:r>
              <w:rPr>
                <w:rFonts w:ascii="Arial" w:hAnsi="Arial"/>
                <w:color w:val="000000"/>
                <w:sz w:val="16"/>
                <w:u w:val="single"/>
              </w:rPr>
              <w:t>Upper</w:t>
            </w:r>
            <w:r>
              <w:rPr>
                <w:rFonts w:ascii="Times New Roman" w:hAnsi="Times New Roman"/>
                <w:color w:val="000000"/>
                <w:sz w:val="16"/>
                <w:u w:val="single"/>
              </w:rPr>
              <w:t xml:space="preserve"> </w:t>
            </w:r>
            <w:r>
              <w:rPr>
                <w:rFonts w:ascii="Arial" w:hAnsi="Arial"/>
                <w:color w:val="000000"/>
                <w:sz w:val="16"/>
                <w:u w:val="single"/>
              </w:rPr>
              <w:t>Floor</w:t>
            </w:r>
            <w:r>
              <w:rPr>
                <w:rFonts w:ascii="Times New Roman" w:hAnsi="Times New Roman"/>
                <w:color w:val="000000"/>
                <w:sz w:val="16"/>
                <w:u w:val="single"/>
              </w:rPr>
              <w:t xml:space="preserve"> </w:t>
            </w:r>
            <w:r>
              <w:rPr>
                <w:rFonts w:ascii="Arial" w:hAnsi="Arial"/>
                <w:color w:val="000000"/>
                <w:sz w:val="16"/>
                <w:u w:val="single"/>
              </w:rPr>
              <w:t>Elevator</w:t>
            </w:r>
            <w:r>
              <w:rPr>
                <w:rFonts w:ascii="Times New Roman" w:hAnsi="Times New Roman"/>
                <w:color w:val="000000"/>
                <w:sz w:val="16"/>
                <w:u w:val="single"/>
              </w:rPr>
              <w:t xml:space="preserve"> </w:t>
            </w:r>
            <w:r>
              <w:rPr>
                <w:rFonts w:ascii="Arial" w:hAnsi="Arial"/>
                <w:color w:val="000000"/>
                <w:sz w:val="16"/>
                <w:u w:val="single"/>
              </w:rPr>
              <w:t>Lobby</w:t>
            </w:r>
            <w:r>
              <w:rPr>
                <w:rFonts w:ascii="Times New Roman" w:hAnsi="Times New Roman"/>
                <w:color w:val="000000"/>
                <w:sz w:val="16"/>
                <w:u w:val="single"/>
              </w:rPr>
              <w:t xml:space="preserve"> </w:t>
            </w:r>
            <w:r>
              <w:rPr>
                <w:rFonts w:ascii="Arial" w:hAnsi="Arial"/>
                <w:color w:val="000000"/>
                <w:sz w:val="16"/>
                <w:u w:val="single"/>
              </w:rPr>
              <w:t>finishes.</w:t>
            </w:r>
            <w:r>
              <w:rPr>
                <w:rFonts w:ascii="Times New Roman" w:hAnsi="Times New Roman"/>
                <w:color w:val="000000"/>
                <w:sz w:val="16"/>
                <w:u w:val="single"/>
              </w:rPr>
              <w:t xml:space="preserve"> </w:t>
            </w:r>
            <w:r>
              <w:rPr>
                <w:rFonts w:ascii="Arial" w:hAnsi="Arial"/>
                <w:color w:val="000000"/>
                <w:sz w:val="16"/>
                <w:u w:val="single"/>
              </w:rPr>
              <w:t>Finishes</w:t>
            </w:r>
            <w:r>
              <w:rPr>
                <w:rFonts w:ascii="Times New Roman" w:hAnsi="Times New Roman"/>
                <w:color w:val="000000"/>
                <w:sz w:val="16"/>
                <w:u w:val="single"/>
              </w:rPr>
              <w:t xml:space="preserve"> </w:t>
            </w:r>
            <w:r>
              <w:rPr>
                <w:rFonts w:ascii="Arial" w:hAnsi="Arial"/>
                <w:color w:val="000000"/>
                <w:sz w:val="16"/>
                <w:u w:val="single"/>
              </w:rPr>
              <w:t>provided</w:t>
            </w:r>
            <w:r>
              <w:rPr>
                <w:rFonts w:ascii="Times New Roman" w:hAnsi="Times New Roman"/>
                <w:color w:val="000000"/>
                <w:sz w:val="16"/>
                <w:u w:val="single"/>
              </w:rPr>
              <w:t xml:space="preserve"> </w:t>
            </w:r>
            <w:r>
              <w:rPr>
                <w:rFonts w:ascii="Arial" w:hAnsi="Arial"/>
                <w:color w:val="000000"/>
                <w:sz w:val="16"/>
                <w:u w:val="single"/>
              </w:rPr>
              <w:t>by</w:t>
            </w:r>
            <w:r>
              <w:rPr>
                <w:rFonts w:ascii="Times New Roman" w:hAnsi="Times New Roman"/>
                <w:color w:val="000000"/>
                <w:sz w:val="16"/>
                <w:u w:val="single"/>
              </w:rPr>
              <w:t xml:space="preserve"> </w:t>
            </w:r>
            <w:r>
              <w:rPr>
                <w:rFonts w:ascii="Arial" w:hAnsi="Arial"/>
                <w:color w:val="000000"/>
                <w:sz w:val="16"/>
                <w:u w:val="single"/>
              </w:rPr>
              <w:t>Tenant</w:t>
            </w:r>
            <w:r>
              <w:rPr>
                <w:rFonts w:ascii="Times New Roman" w:hAnsi="Times New Roman"/>
                <w:color w:val="000000"/>
                <w:sz w:val="16"/>
                <w:u w:val="single"/>
              </w:rPr>
              <w:t xml:space="preserve"> </w:t>
            </w:r>
            <w:r>
              <w:rPr>
                <w:rFonts w:ascii="Arial" w:hAnsi="Arial"/>
                <w:color w:val="000000"/>
                <w:sz w:val="16"/>
                <w:u w:val="single"/>
              </w:rPr>
              <w:t>as</w:t>
            </w:r>
            <w:r>
              <w:rPr>
                <w:rFonts w:ascii="Times New Roman" w:hAnsi="Times New Roman"/>
                <w:color w:val="000000"/>
                <w:sz w:val="16"/>
                <w:u w:val="single"/>
              </w:rPr>
              <w:t xml:space="preserve"> </w:t>
            </w:r>
            <w:r>
              <w:rPr>
                <w:rFonts w:ascii="Arial" w:hAnsi="Arial"/>
                <w:color w:val="000000"/>
                <w:sz w:val="16"/>
                <w:u w:val="single"/>
              </w:rPr>
              <w:t>part</w:t>
            </w:r>
            <w:r>
              <w:rPr>
                <w:rFonts w:ascii="Times New Roman" w:hAnsi="Times New Roman"/>
                <w:color w:val="000000"/>
                <w:sz w:val="16"/>
                <w:u w:val="single"/>
              </w:rPr>
              <w:t xml:space="preserve"> </w:t>
            </w:r>
            <w:r>
              <w:rPr>
                <w:rFonts w:ascii="Arial" w:hAnsi="Arial"/>
                <w:color w:val="000000"/>
                <w:sz w:val="16"/>
                <w:u w:val="single"/>
              </w:rPr>
              <w:t>of</w:t>
            </w:r>
            <w:r>
              <w:rPr>
                <w:rFonts w:ascii="Times New Roman" w:hAnsi="Times New Roman"/>
                <w:color w:val="000000"/>
                <w:sz w:val="16"/>
                <w:u w:val="single"/>
              </w:rPr>
              <w:t xml:space="preserve"> </w:t>
            </w:r>
            <w:r>
              <w:rPr>
                <w:rFonts w:ascii="Arial" w:hAnsi="Arial"/>
                <w:color w:val="000000"/>
                <w:sz w:val="16"/>
                <w:u w:val="single"/>
              </w:rPr>
              <w:t>Tenants</w:t>
            </w:r>
            <w:r>
              <w:rPr>
                <w:rFonts w:ascii="Times New Roman" w:hAnsi="Times New Roman"/>
                <w:color w:val="000000"/>
                <w:sz w:val="16"/>
                <w:u w:val="single"/>
              </w:rPr>
              <w:t xml:space="preserve"> </w:t>
            </w:r>
            <w:r>
              <w:rPr>
                <w:rFonts w:ascii="Arial" w:hAnsi="Arial"/>
                <w:color w:val="000000"/>
                <w:sz w:val="16"/>
                <w:u w:val="single"/>
              </w:rPr>
              <w:t>Interior</w:t>
            </w:r>
            <w:r>
              <w:rPr>
                <w:rFonts w:ascii="Times New Roman" w:hAnsi="Times New Roman"/>
                <w:color w:val="000000"/>
                <w:sz w:val="16"/>
                <w:u w:val="single"/>
              </w:rPr>
              <w:t xml:space="preserve"> </w:t>
            </w:r>
            <w:r>
              <w:rPr>
                <w:rFonts w:ascii="Arial" w:hAnsi="Arial"/>
                <w:color w:val="000000"/>
                <w:sz w:val="16"/>
                <w:u w:val="single"/>
              </w:rPr>
              <w:t>fit-out</w:t>
            </w:r>
            <w:r>
              <w:rPr>
                <w:rFonts w:ascii="Times New Roman" w:hAnsi="Times New Roman"/>
                <w:color w:val="000000"/>
                <w:sz w:val="16"/>
                <w:u w:val="single"/>
              </w:rPr>
              <w:t xml:space="preserve"> </w:t>
            </w:r>
            <w:r>
              <w:rPr>
                <w:rFonts w:ascii="Arial" w:hAnsi="Arial"/>
                <w:color w:val="000000"/>
                <w:sz w:val="16"/>
                <w:u w:val="single"/>
              </w:rPr>
              <w:t>per</w:t>
            </w:r>
            <w:r>
              <w:rPr>
                <w:rFonts w:ascii="Times New Roman" w:hAnsi="Times New Roman"/>
                <w:color w:val="000000"/>
                <w:sz w:val="16"/>
                <w:u w:val="single"/>
              </w:rPr>
              <w:t xml:space="preserve"> </w:t>
            </w:r>
            <w:r>
              <w:rPr>
                <w:rFonts w:ascii="Arial" w:hAnsi="Arial"/>
                <w:color w:val="000000"/>
                <w:sz w:val="16"/>
                <w:u w:val="single"/>
              </w:rPr>
              <w:t>Lease</w:t>
            </w:r>
            <w:r>
              <w:rPr>
                <w:rFonts w:ascii="Times New Roman" w:hAnsi="Times New Roman"/>
                <w:color w:val="000000"/>
                <w:sz w:val="16"/>
                <w:u w:val="single"/>
              </w:rPr>
              <w:t xml:space="preserve"> </w:t>
            </w:r>
            <w:r>
              <w:rPr>
                <w:rFonts w:ascii="Arial" w:hAnsi="Arial"/>
                <w:color w:val="000000"/>
                <w:sz w:val="16"/>
                <w:u w:val="single"/>
              </w:rPr>
              <w:t>Exhibit</w:t>
            </w:r>
            <w:r>
              <w:rPr>
                <w:rFonts w:ascii="Times New Roman" w:hAnsi="Times New Roman"/>
                <w:color w:val="000000"/>
                <w:sz w:val="16"/>
                <w:u w:val="single"/>
              </w:rPr>
              <w:t xml:space="preserve"> </w:t>
            </w:r>
            <w:r>
              <w:rPr>
                <w:rFonts w:ascii="Arial" w:hAnsi="Arial"/>
                <w:color w:val="000000"/>
                <w:sz w:val="16"/>
                <w:u w:val="single"/>
              </w:rPr>
              <w:t>B</w:t>
            </w:r>
            <w:r>
              <w:rPr>
                <w:rFonts w:ascii="Times New Roman" w:hAnsi="Times New Roman"/>
                <w:color w:val="000000"/>
                <w:sz w:val="16"/>
                <w:u w:val="single"/>
              </w:rPr>
              <w:t xml:space="preserve"> </w:t>
            </w:r>
            <w:r>
              <w:rPr>
                <w:rFonts w:ascii="Arial" w:hAnsi="Arial"/>
                <w:color w:val="000000"/>
                <w:sz w:val="16"/>
                <w:u w:val="single"/>
              </w:rPr>
              <w:t>(10</w:t>
            </w:r>
            <w:r>
              <w:rPr>
                <w:rFonts w:ascii="Times New Roman" w:hAnsi="Times New Roman"/>
                <w:color w:val="000000"/>
                <w:sz w:val="16"/>
                <w:u w:val="single"/>
              </w:rPr>
              <w:t xml:space="preserve"> </w:t>
            </w:r>
            <w:r>
              <w:rPr>
                <w:rFonts w:ascii="Arial" w:hAnsi="Arial"/>
                <w:color w:val="000000"/>
                <w:sz w:val="16"/>
                <w:u w:val="single"/>
              </w:rPr>
              <w:t>floors</w:t>
            </w:r>
            <w:r>
              <w:rPr>
                <w:rFonts w:ascii="Times New Roman" w:hAnsi="Times New Roman"/>
                <w:color w:val="000000"/>
                <w:sz w:val="16"/>
                <w:u w:val="single"/>
              </w:rPr>
              <w:t xml:space="preserve"> </w:t>
            </w:r>
            <w:r>
              <w:rPr>
                <w:rFonts w:ascii="Arial" w:hAnsi="Arial"/>
                <w:color w:val="000000"/>
                <w:sz w:val="16"/>
                <w:u w:val="single"/>
              </w:rPr>
              <w:t>@</w:t>
            </w:r>
            <w:r>
              <w:rPr>
                <w:rFonts w:ascii="Times New Roman" w:hAnsi="Times New Roman"/>
                <w:color w:val="000000"/>
                <w:sz w:val="16"/>
                <w:u w:val="single"/>
              </w:rPr>
              <w:t xml:space="preserve"> </w:t>
            </w:r>
            <w:r>
              <w:rPr>
                <w:rFonts w:ascii="Arial" w:hAnsi="Arial"/>
                <w:color w:val="000000"/>
                <w:sz w:val="16"/>
                <w:u w:val="single"/>
              </w:rPr>
              <w:t>$21,000/floor)</w:t>
            </w:r>
          </w:p>
        </w:tc>
        <w:tc>
          <w:tcPr>
            <w:tcW w:w="107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($210,000.00)</w:t>
            </w:r>
          </w:p>
        </w:tc>
        <w:tc>
          <w:tcPr>
            <w:tcW w:w="689" w:type="dxa"/>
            <w:tcBorders>
              <w:bottom w:val="single" w:sz="6" w:space="0" w:color="000000"/>
            </w:tcBorders>
            <w:tcMar>
              <w:top w:w="0" w:type="dxa"/>
              <w:left w:w="0" w:type="dxa"/>
              <w:right w:w="0" w:type="dxa"/>
            </w:tcMar>
            <w:vAlign w:val="center"/>
          </w:tcPr>
          <w:p>
            <w:pPr>
              <w:pStyle w:val="TableContents"/>
              <w:bidi w:val="0"/>
              <w:spacing w:before="11" w:after="283"/>
              <w:jc w:val="left"/>
              <w:rPr/>
            </w:pPr>
            <w:r>
              <w:rPr/>
              <w:t> </w:t>
            </w:r>
          </w:p>
        </w:tc>
      </w:tr>
      <w:tr>
        <w:trPr/>
        <w:tc>
          <w:tcPr>
            <w:tcW w:w="8440"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7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89"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0"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7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89"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0"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7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89"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0"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7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89"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0"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7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89"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0"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7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89"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440" w:type="dxa"/>
            <w:gridSpan w:val="3"/>
            <w:tcBorders>
              <w:left w:val="single" w:sz="6" w:space="0" w:color="000000"/>
              <w:bottom w:val="single" w:sz="6" w:space="0" w:color="000000"/>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689" w:type="dxa"/>
            <w:vMerge w:val="restart"/>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77D4"/>
                <w:sz w:val="21"/>
              </w:rPr>
            </w:pPr>
            <w:r>
              <w:rPr>
                <w:rFonts w:ascii="Arial" w:hAnsi="Arial"/>
                <w:color w:val="0077D4"/>
                <w:sz w:val="21"/>
              </w:rPr>
              <w:t>OK MC</w:t>
            </w:r>
          </w:p>
        </w:tc>
      </w:tr>
      <w:tr>
        <w:trPr/>
        <w:tc>
          <w:tcPr>
            <w:tcW w:w="1983" w:type="dxa"/>
            <w:gridSpan w:val="2"/>
            <w:tcBorders>
              <w:right w:val="single" w:sz="6" w:space="0" w:color="000000"/>
            </w:tcBorders>
            <w:tcMar>
              <w:top w:w="0" w:type="dxa"/>
              <w:left w:w="0" w:type="dxa"/>
              <w:bottom w:w="0" w:type="dxa"/>
            </w:tcMar>
            <w:vAlign w:val="center"/>
          </w:tcPr>
          <w:p>
            <w:pPr>
              <w:pStyle w:val="TableContents"/>
              <w:bidi w:val="0"/>
              <w:spacing w:before="0" w:after="283"/>
              <w:ind w:left="0" w:right="0" w:firstLine="23"/>
              <w:jc w:val="left"/>
              <w:rPr/>
            </w:pPr>
            <w:r>
              <w:rPr/>
              <w:t> </w:t>
            </w:r>
          </w:p>
        </w:tc>
        <w:tc>
          <w:tcPr>
            <w:tcW w:w="6457" w:type="dxa"/>
            <w:tcBorders>
              <w:bottom w:val="single" w:sz="6" w:space="0" w:color="000000"/>
            </w:tcBorders>
            <w:tcMar>
              <w:top w:w="0" w:type="dxa"/>
              <w:left w:w="0" w:type="dxa"/>
              <w:right w:w="0" w:type="dxa"/>
            </w:tcMar>
            <w:vAlign w:val="center"/>
          </w:tcPr>
          <w:p>
            <w:pPr>
              <w:pStyle w:val="TableContents"/>
              <w:bidi w:val="0"/>
              <w:spacing w:before="15" w:after="283"/>
              <w:ind w:left="0" w:right="0" w:firstLine="23"/>
              <w:jc w:val="left"/>
              <w:rPr>
                <w:rFonts w:ascii="Times New Roman" w:hAnsi="Times New Roman"/>
                <w:sz w:val="13"/>
              </w:rPr>
            </w:pPr>
            <w:r>
              <w:rPr>
                <w:rFonts w:ascii="Arial" w:hAnsi="Arial"/>
                <w:b/>
                <w:color w:val="000000"/>
                <w:sz w:val="13"/>
              </w:rPr>
              <w:t>TOTAL</w:t>
            </w:r>
            <w:r>
              <w:rPr>
                <w:rFonts w:ascii="Times New Roman" w:hAnsi="Times New Roman"/>
                <w:color w:val="000000"/>
                <w:sz w:val="13"/>
              </w:rPr>
              <w:t xml:space="preserve"> </w:t>
            </w:r>
            <w:r>
              <w:rPr>
                <w:rFonts w:ascii="Arial" w:hAnsi="Arial"/>
                <w:b/>
                <w:color w:val="000000"/>
                <w:sz w:val="13"/>
              </w:rPr>
              <w:t>CO#19</w:t>
            </w:r>
          </w:p>
        </w:tc>
        <w:tc>
          <w:tcPr>
            <w:tcW w:w="1076" w:type="dxa"/>
            <w:tcBorders>
              <w:bottom w:val="single" w:sz="6" w:space="0" w:color="000000"/>
              <w:right w:val="single" w:sz="6" w:space="0" w:color="000000"/>
            </w:tcBorders>
            <w:tcMar>
              <w:top w:w="0" w:type="dxa"/>
              <w:left w:w="0" w:type="dxa"/>
            </w:tcMar>
            <w:vAlign w:val="center"/>
          </w:tcPr>
          <w:p>
            <w:pPr>
              <w:pStyle w:val="TableContents"/>
              <w:bidi w:val="0"/>
              <w:spacing w:before="15" w:after="283"/>
              <w:ind w:left="23" w:right="0" w:firstLine="23"/>
              <w:jc w:val="right"/>
              <w:rPr>
                <w:rFonts w:ascii="Arial" w:hAnsi="Arial"/>
                <w:b/>
                <w:color w:val="000000"/>
                <w:sz w:val="12"/>
              </w:rPr>
            </w:pPr>
            <w:r>
              <w:rPr>
                <w:rFonts w:ascii="Arial" w:hAnsi="Arial"/>
                <w:b/>
                <w:color w:val="000000"/>
                <w:sz w:val="12"/>
              </w:rPr>
              <w:t>($210,000.00)</w:t>
            </w:r>
          </w:p>
        </w:tc>
        <w:tc>
          <w:tcPr>
            <w:tcW w:w="689" w:type="dxa"/>
            <w:vMerge w:val="continue"/>
            <w:tcBorders>
              <w:bottom w:val="single" w:sz="6" w:space="0" w:color="000000"/>
            </w:tcBorders>
            <w:tcMar>
              <w:top w:w="0" w:type="dxa"/>
              <w:left w:w="0" w:type="dxa"/>
              <w:right w:w="0" w:type="dxa"/>
            </w:tcMar>
            <w:vAlign w:val="center"/>
          </w:tcPr>
          <w:p>
            <w:pPr>
              <w:pStyle w:val="Normal"/>
              <w:bidi w:val="0"/>
              <w:jc w:val="left"/>
              <w:rPr/>
            </w:pPr>
            <w:r>
              <w:rPr/>
            </w:r>
          </w:p>
        </w:tc>
      </w:tr>
    </w:tbl>
    <w:p>
      <w:pPr>
        <w:pStyle w:val="TextBody"/>
        <w:bidi w:val="0"/>
        <w:spacing w:before="98" w:after="283"/>
        <w:jc w:val="left"/>
        <w:rPr/>
      </w:pPr>
      <w:r>
        <w:rPr/>
        <w:t> </w:t>
      </w:r>
    </w:p>
    <w:p>
      <w:pPr>
        <w:pStyle w:val="TextBody"/>
        <w:bidi w:val="0"/>
        <w:jc w:val="left"/>
        <w:rPr>
          <w:rFonts w:ascii="Arial" w:hAnsi="Arial"/>
          <w:color w:val="000000"/>
          <w:sz w:val="13"/>
        </w:rPr>
      </w:pPr>
      <w:r>
        <w:rPr>
          <w:rFonts w:ascii="Arial" w:hAnsi="Arial"/>
          <w:color w:val="000000"/>
          <w:sz w:val="13"/>
        </w:rPr>
        <w:t>CarGurus acknowledges and agrees that (a) this change order constitutes a Tenant Change Order subject to and in accordance with the terms of the Lease; and (b) (i) it will pay to Landlord, as Additional Rent under the Lease, the actual amount of the increased costs and expenses resulting from this Tenant Change Order, and (ii) any and all delays resulting from the work contemplated by or resulting from this Tenant Change Order shall constitute a Tenant Delay under the Lease. Capitalized terms used but not defined herein shall have the meaning ascribed to them in the Lease. Please countersign this change order in the space below to confirm your agreement.</w:t>
      </w:r>
    </w:p>
    <w:p>
      <w:pPr>
        <w:pStyle w:val="TextBody"/>
        <w:bidi w:val="0"/>
        <w:spacing w:before="200" w:after="283"/>
        <w:jc w:val="left"/>
        <w:rPr>
          <w:rFonts w:ascii="Arial" w:hAnsi="Arial"/>
          <w:color w:val="000000"/>
          <w:sz w:val="15"/>
        </w:rPr>
      </w:pPr>
      <w:r>
        <w:rPr>
          <w:rFonts w:ascii="Arial" w:hAnsi="Arial"/>
          <w:color w:val="000000"/>
          <w:sz w:val="15"/>
        </w:rPr>
        <w:t>Sincerely,</w:t>
      </w:r>
    </w:p>
    <w:p>
      <w:pPr>
        <w:pStyle w:val="TextBody"/>
        <w:bidi w:val="0"/>
        <w:spacing w:before="200" w:after="283"/>
        <w:jc w:val="left"/>
        <w:rPr>
          <w:rFonts w:ascii="Times New Roman" w:hAnsi="Times New Roman"/>
          <w:sz w:val="20"/>
        </w:rPr>
      </w:pPr>
      <w:r>
        <w:rPr>
          <w:rFonts w:ascii="Arial" w:hAnsi="Arial"/>
          <w:b/>
          <w:color w:val="000000"/>
          <w:sz w:val="15"/>
        </w:rPr>
        <w:t>P-12</w:t>
      </w:r>
      <w:r>
        <w:rPr>
          <w:rFonts w:ascii="Times New Roman" w:hAnsi="Times New Roman"/>
          <w:color w:val="000000"/>
          <w:sz w:val="20"/>
        </w:rPr>
        <w:t xml:space="preserve"> </w:t>
      </w:r>
      <w:r>
        <w:rPr>
          <w:rFonts w:ascii="Arial" w:hAnsi="Arial"/>
          <w:b/>
          <w:color w:val="000000"/>
          <w:sz w:val="15"/>
        </w:rPr>
        <w:t>Property</w:t>
      </w:r>
      <w:r>
        <w:rPr>
          <w:rFonts w:ascii="Times New Roman" w:hAnsi="Times New Roman"/>
          <w:color w:val="000000"/>
          <w:sz w:val="20"/>
        </w:rPr>
        <w:t xml:space="preserve"> </w:t>
      </w:r>
      <w:r>
        <w:rPr>
          <w:rFonts w:ascii="Arial" w:hAnsi="Arial"/>
          <w:b/>
          <w:color w:val="000000"/>
          <w:sz w:val="15"/>
        </w:rPr>
        <w:t>LLC</w:t>
      </w:r>
    </w:p>
    <w:p>
      <w:pPr>
        <w:pStyle w:val="TextBody"/>
        <w:bidi w:val="0"/>
        <w:spacing w:before="144" w:after="283"/>
        <w:jc w:val="left"/>
        <w:rPr/>
      </w:pPr>
      <w:r>
        <w:rPr/>
        <w:t> </w:t>
      </w:r>
    </w:p>
    <w:tbl>
      <w:tblPr>
        <w:tblW w:w="2209" w:type="dxa"/>
        <w:jc w:val="left"/>
        <w:tblInd w:w="0" w:type="dxa"/>
        <w:tblLayout w:type="fixed"/>
        <w:tblCellMar>
          <w:top w:w="28" w:type="dxa"/>
          <w:left w:w="28" w:type="dxa"/>
          <w:bottom w:w="28" w:type="dxa"/>
          <w:right w:w="28" w:type="dxa"/>
        </w:tblCellMar>
      </w:tblPr>
      <w:tblGrid>
        <w:gridCol w:w="1285"/>
        <w:gridCol w:w="924"/>
      </w:tblGrid>
      <w:tr>
        <w:trPr/>
        <w:tc>
          <w:tcPr>
            <w:tcW w:w="128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ind w:left="0" w:right="0" w:firstLine="19"/>
              <w:jc w:val="left"/>
              <w:rPr>
                <w:sz w:val="4"/>
                <w:szCs w:val="4"/>
              </w:rPr>
            </w:pPr>
            <w:r>
              <w:rPr>
                <w:sz w:val="4"/>
                <w:szCs w:val="4"/>
              </w:rPr>
            </w:r>
          </w:p>
        </w:tc>
      </w:tr>
      <w:tr>
        <w:trPr/>
        <w:tc>
          <w:tcPr>
            <w:tcW w:w="2209" w:type="dxa"/>
            <w:gridSpan w:val="2"/>
            <w:tcBorders>
              <w:top w:val="single" w:sz="4" w:space="0" w:color="000000"/>
              <w:left w:val="single" w:sz="4" w:space="0" w:color="000000"/>
              <w:bottom w:val="single" w:sz="4" w:space="0" w:color="000000"/>
              <w:right w:val="single" w:sz="4" w:space="0" w:color="000000"/>
            </w:tcBorders>
            <w:shd w:fill="D9E1F2" w:val="clear"/>
            <w:vAlign w:val="center"/>
          </w:tcPr>
          <w:p>
            <w:pPr>
              <w:pStyle w:val="TableContents"/>
              <w:bidi w:val="0"/>
              <w:spacing w:before="17" w:after="283"/>
              <w:ind w:left="19" w:right="0" w:firstLine="19"/>
              <w:jc w:val="left"/>
              <w:rPr>
                <w:rFonts w:ascii="Times New Roman" w:hAnsi="Times New Roman"/>
                <w:sz w:val="13"/>
              </w:rPr>
            </w:pPr>
            <w:r>
              <w:rPr>
                <w:rFonts w:ascii="Arial" w:hAnsi="Arial"/>
                <w:b/>
                <w:color w:val="000000"/>
                <w:sz w:val="13"/>
              </w:rPr>
              <w:t>Acknowledged</w:t>
            </w:r>
            <w:r>
              <w:rPr>
                <w:rFonts w:ascii="Times New Roman" w:hAnsi="Times New Roman"/>
                <w:color w:val="000000"/>
                <w:sz w:val="13"/>
              </w:rPr>
              <w:t xml:space="preserve"> </w:t>
            </w:r>
            <w:r>
              <w:rPr>
                <w:rFonts w:ascii="Arial" w:hAnsi="Arial"/>
                <w:b/>
                <w:color w:val="000000"/>
                <w:sz w:val="13"/>
              </w:rPr>
              <w:t>and</w:t>
            </w:r>
            <w:r>
              <w:rPr>
                <w:rFonts w:ascii="Times New Roman" w:hAnsi="Times New Roman"/>
                <w:color w:val="000000"/>
                <w:sz w:val="13"/>
              </w:rPr>
              <w:t xml:space="preserve"> </w:t>
            </w:r>
            <w:r>
              <w:rPr>
                <w:rFonts w:ascii="Arial" w:hAnsi="Arial"/>
                <w:b/>
                <w:color w:val="000000"/>
                <w:sz w:val="13"/>
              </w:rPr>
              <w:t>Agreed</w:t>
            </w:r>
            <w:r>
              <w:rPr>
                <w:rFonts w:ascii="Times New Roman" w:hAnsi="Times New Roman"/>
                <w:color w:val="000000"/>
                <w:sz w:val="13"/>
              </w:rPr>
              <w:t xml:space="preserve"> </w:t>
            </w:r>
            <w:r>
              <w:rPr>
                <w:rFonts w:ascii="Arial" w:hAnsi="Arial"/>
                <w:b/>
                <w:color w:val="000000"/>
                <w:sz w:val="13"/>
              </w:rPr>
              <w:t>to</w:t>
            </w:r>
            <w:r>
              <w:rPr>
                <w:rFonts w:ascii="Times New Roman" w:hAnsi="Times New Roman"/>
                <w:color w:val="000000"/>
                <w:sz w:val="13"/>
              </w:rPr>
              <w:t xml:space="preserve"> </w:t>
            </w:r>
            <w:r>
              <w:rPr>
                <w:rFonts w:ascii="Arial" w:hAnsi="Arial"/>
                <w:b/>
                <w:color w:val="000000"/>
                <w:sz w:val="13"/>
              </w:rPr>
              <w:t>by:</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Arial" w:hAnsi="Arial"/>
                <w:b/>
                <w:color w:val="000000"/>
                <w:sz w:val="13"/>
              </w:rPr>
              <w:t>CarGurus,</w:t>
            </w:r>
            <w:r>
              <w:rPr>
                <w:rFonts w:ascii="Times New Roman" w:hAnsi="Times New Roman"/>
                <w:color w:val="000000"/>
                <w:sz w:val="13"/>
              </w:rPr>
              <w:t xml:space="preserve"> </w:t>
            </w:r>
            <w:r>
              <w:rPr>
                <w:rFonts w:ascii="Arial" w:hAnsi="Arial"/>
                <w:b/>
                <w:color w:val="000000"/>
                <w:sz w:val="13"/>
              </w:rPr>
              <w:t>Inc.</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x /s/ Brandon Morrill</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Signtature</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8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Brandon Morrill</w:t>
            </w:r>
          </w:p>
        </w:tc>
        <w:tc>
          <w:tcPr>
            <w:tcW w:w="92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4/12/2024</w:t>
            </w:r>
          </w:p>
        </w:tc>
      </w:tr>
    </w:tbl>
    <w:p>
      <w:pPr>
        <w:pStyle w:val="TextBody"/>
        <w:bidi w:val="0"/>
        <w:spacing w:before="144"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4"/>
        </w:rPr>
      </w:pPr>
      <w:r>
        <w:rPr>
          <w:rFonts w:ascii="Arial" w:hAnsi="Arial"/>
          <w:color w:val="000000"/>
          <w:sz w:val="24"/>
        </w:rPr>
        <w:t>EXHIBIT 2.1-1</w:t>
      </w:r>
    </w:p>
    <w:p>
      <w:pPr>
        <w:pStyle w:val="TextBody"/>
        <w:bidi w:val="0"/>
        <w:spacing w:before="78" w:after="283"/>
        <w:jc w:val="center"/>
        <w:rPr>
          <w:rFonts w:ascii="Times New Roman" w:hAnsi="Times New Roman"/>
          <w:sz w:val="20"/>
        </w:rPr>
      </w:pPr>
      <w:r>
        <w:rPr>
          <w:rFonts w:ascii="Arial" w:hAnsi="Arial"/>
          <w:color w:val="000000"/>
          <w:sz w:val="24"/>
          <w:u w:val="single"/>
        </w:rPr>
        <w:t>LANDLORD/TENANT RESPONSIBILITY MATRIX</w:t>
      </w:r>
      <w:r>
        <w:rPr>
          <w:rFonts w:ascii="Times New Roman" w:hAnsi="Times New Roman"/>
          <w:color w:val="000000"/>
          <w:sz w:val="20"/>
        </w:rPr>
        <w:t xml:space="preserve"> </w:t>
      </w:r>
    </w:p>
    <w:p>
      <w:pPr>
        <w:pStyle w:val="TextBody"/>
        <w:bidi w:val="0"/>
        <w:spacing w:before="78" w:after="283"/>
        <w:jc w:val="left"/>
        <w:rPr/>
      </w:pPr>
      <w:r>
        <w:rPr/>
        <w:t> </w:t>
      </w:r>
    </w:p>
    <w:p>
      <w:pPr>
        <w:pStyle w:val="TextBody"/>
        <w:bidi w:val="0"/>
        <w:spacing w:before="78" w:after="283"/>
        <w:jc w:val="center"/>
        <w:rPr/>
      </w:pPr>
      <w:r>
        <w:rPr/>
        <w:drawing>
          <wp:inline distT="0" distB="0" distL="0" distR="0">
            <wp:extent cx="6153150" cy="7610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6153150" cy="7610475"/>
                    </a:xfrm>
                    <a:prstGeom prst="rect">
                      <a:avLst/>
                    </a:prstGeom>
                  </pic:spPr>
                </pic:pic>
              </a:graphicData>
            </a:graphic>
          </wp:inline>
        </w:drawing>
      </w:r>
      <w:r>
        <w:rPr/>
        <w:t> </w:t>
      </w:r>
    </w:p>
    <w:p>
      <w:pPr>
        <w:pStyle w:val="TextBody"/>
        <w:bidi w:val="0"/>
        <w:spacing w:before="78" w:after="283"/>
        <w:jc w:val="left"/>
        <w:rPr>
          <w:rFonts w:ascii="Arial" w:hAnsi="Arial"/>
          <w:color w:val="FFFFFF"/>
          <w:sz w:val="2"/>
        </w:rPr>
      </w:pPr>
      <w:r>
        <w:rPr>
          <w:rFonts w:ascii="Arial" w:hAnsi="Arial"/>
          <w:color w:val="FFFFFF"/>
          <w:sz w:val="2"/>
        </w:rPr>
        <w:t>1001 Boylston· Office Core/Shell Scope LOI "Exhibit B" - Revised 11-719 Scope Item Responsibility Tenant Landlord AS existing Comments SITEWORK Utilities Pavements sidewalks and roadways Landscaping STRUCTURE Floor to Floor Height: 13'-6" typical on office floors fireproofing Design floor live load: 100 psf Tenant to reinforce floor locally if specialty program exceeds 100 PSF Framed openings for additional Tenant shafts not part of base building Provide client specified openings for communicating stair MISCELLANEOUS METALS Misc.metals for base building elements (canopies, elevators, railings, etc.) specialty misc. metals/structural work for tenant rooftop equipment misc. metals/structural steel for base building rooftop equipment concrete pads and structural modifications related to tenant fit-out egress stairs with concrete filled pan. painted steel guardrails and handrails. steel frame and glass at exterior balconies and amenity deck as shown on the contract documents BUILDING ENVELOPE Exterior walls aluminum and glass curtain wall. aluminum and glass exterior doors of similar construction to exterior glazing system mechanical penthouse: aluminum panel system penthouse louvers as required specialty tenant equipment south side window treatment for significant sun penetration office tower roof adhered PVC or TPO membrane roofing system including insulation, transitions, parapets, and accessories walkway pads to base building roofing equipment and perimeter as shown on LL drawings pedestal pavers and roof protection pads at office roof as shown on ll drawings roof penetrations and walkway pads for tenant rooftop equipment office common area main lobby-finishes wall finishes ceiling finish upper floor finishes wall finishes ceiling finish lighting X X X X X X X X X X X X X X X X X X X X X X X X X X X X X X X X By tenant tenant involvement with finishes tenant involvement with finishes tenant involvement with finishes landlord to credit cost for standard C/S Tenant to provide finishes in elevator lobby. see above note see above note see above note</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Exhibit 2.1-1, Page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center"/>
        <w:rPr>
          <w:rFonts w:ascii="Arial" w:hAnsi="Arial"/>
          <w:color w:val="000000"/>
          <w:sz w:val="27"/>
        </w:rPr>
      </w:pPr>
      <w:r>
        <w:rPr>
          <w:rFonts w:ascii="Arial" w:hAnsi="Arial"/>
          <w:color w:val="000000"/>
          <w:sz w:val="27"/>
        </w:rPr>
        <w:t>Parcel 12</w:t>
      </w:r>
    </w:p>
    <w:p>
      <w:pPr>
        <w:pStyle w:val="TextBody"/>
        <w:bidi w:val="0"/>
        <w:spacing w:before="16" w:after="283"/>
        <w:jc w:val="center"/>
        <w:rPr>
          <w:rFonts w:ascii="Arial" w:hAnsi="Arial"/>
          <w:color w:val="000000"/>
          <w:sz w:val="17"/>
        </w:rPr>
      </w:pPr>
      <w:r>
        <w:rPr>
          <w:rFonts w:ascii="Arial" w:hAnsi="Arial"/>
          <w:color w:val="000000"/>
          <w:sz w:val="17"/>
        </w:rPr>
        <w:t>Boston, MA</w:t>
      </w:r>
    </w:p>
    <w:p>
      <w:pPr>
        <w:pStyle w:val="TextBody"/>
        <w:bidi w:val="0"/>
        <w:jc w:val="left"/>
        <w:rPr/>
      </w:pPr>
      <w:r>
        <w:rPr/>
        <w:t> </w:t>
      </w:r>
    </w:p>
    <w:tbl>
      <w:tblPr>
        <w:tblW w:w="3756" w:type="dxa"/>
        <w:jc w:val="left"/>
        <w:tblInd w:w="0" w:type="dxa"/>
        <w:tblLayout w:type="fixed"/>
        <w:tblCellMar>
          <w:top w:w="28" w:type="dxa"/>
          <w:left w:w="28" w:type="dxa"/>
          <w:bottom w:w="28" w:type="dxa"/>
          <w:right w:w="28" w:type="dxa"/>
        </w:tblCellMar>
      </w:tblPr>
      <w:tblGrid>
        <w:gridCol w:w="1243"/>
        <w:gridCol w:w="402"/>
        <w:gridCol w:w="2111"/>
      </w:tblGrid>
      <w:tr>
        <w:trPr/>
        <w:tc>
          <w:tcPr>
            <w:tcW w:w="124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83"/>
              <w:ind w:left="0" w:right="7" w:hanging="0"/>
              <w:jc w:val="center"/>
              <w:rPr>
                <w:rFonts w:ascii="Arial" w:hAnsi="Arial"/>
                <w:color w:val="000000"/>
                <w:sz w:val="22"/>
              </w:rPr>
            </w:pPr>
            <w:r>
              <w:rPr>
                <w:rFonts w:ascii="Arial" w:hAnsi="Arial"/>
                <w:color w:val="000000"/>
                <w:sz w:val="22"/>
              </w:rPr>
              <w:t>CarGurus Tenant Change Order #20</w:t>
            </w:r>
          </w:p>
        </w:tc>
      </w:tr>
      <w:tr>
        <w:trPr/>
        <w:tc>
          <w:tcPr>
            <w:tcW w:w="3756" w:type="dxa"/>
            <w:gridSpan w:val="3"/>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4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Date:</w:t>
            </w:r>
          </w:p>
        </w:tc>
        <w:tc>
          <w:tcPr>
            <w:tcW w:w="402"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3/29/2024</w:t>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CarGurus, Inc.</w:t>
      </w:r>
    </w:p>
    <w:p>
      <w:pPr>
        <w:pStyle w:val="TextBody"/>
        <w:bidi w:val="0"/>
        <w:jc w:val="left"/>
        <w:rPr>
          <w:rFonts w:ascii="Arial" w:hAnsi="Arial"/>
          <w:color w:val="000000"/>
          <w:sz w:val="13"/>
        </w:rPr>
      </w:pPr>
      <w:r>
        <w:rPr>
          <w:rFonts w:ascii="Arial" w:hAnsi="Arial"/>
          <w:color w:val="000000"/>
          <w:sz w:val="13"/>
        </w:rPr>
        <w:t>2 Canal Park</w:t>
      </w:r>
    </w:p>
    <w:p>
      <w:pPr>
        <w:pStyle w:val="TextBody"/>
        <w:bidi w:val="0"/>
        <w:jc w:val="left"/>
        <w:rPr>
          <w:rFonts w:ascii="Arial" w:hAnsi="Arial"/>
          <w:color w:val="000000"/>
          <w:sz w:val="13"/>
        </w:rPr>
      </w:pPr>
      <w:r>
        <w:rPr>
          <w:rFonts w:ascii="Arial" w:hAnsi="Arial"/>
          <w:color w:val="000000"/>
          <w:sz w:val="13"/>
        </w:rPr>
        <w:t>Cambridge, MA 02141</w:t>
      </w:r>
    </w:p>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Mr. John Hart:</w:t>
      </w:r>
    </w:p>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RE: Change Order - Lease by and between Cargurus, Inc. ("CarGurus") and P-12 Property LLC ("Landlord"), dated December 19, 2019, as amended (the “Lease”)</w:t>
      </w:r>
    </w:p>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Pursuant to the Lease, CarGurus has requested modifications to the Base Building Plans and Specifications to accomodate Tenant's design of Tenant's Work, which request requires this change order to such plans and specifications. The work to be performed as a result of this change order is summarized as follows and described in more detail on Exhibit A attached hereto:</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
        <w:gridCol w:w="1336"/>
        <w:gridCol w:w="6769"/>
        <w:gridCol w:w="1001"/>
        <w:gridCol w:w="678"/>
      </w:tblGrid>
      <w:tr>
        <w:trPr/>
        <w:tc>
          <w:tcPr>
            <w:tcW w:w="4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76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21" w:type="dxa"/>
            <w:tcBorders>
              <w:top w:val="single" w:sz="6" w:space="0" w:color="000000"/>
              <w:left w:val="single" w:sz="6" w:space="0" w:color="000000"/>
              <w:bottom w:val="single" w:sz="6" w:space="0" w:color="000000"/>
            </w:tcBorders>
            <w:shd w:fill="D0CECE" w:val="clear"/>
            <w:tcMar>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Item</w:t>
            </w:r>
          </w:p>
        </w:tc>
        <w:tc>
          <w:tcPr>
            <w:tcW w:w="8105" w:type="dxa"/>
            <w:gridSpan w:val="2"/>
            <w:tcBorders>
              <w:top w:val="single" w:sz="6" w:space="0" w:color="000000"/>
              <w:bottom w:val="single" w:sz="6" w:space="0" w:color="000000"/>
            </w:tcBorders>
            <w:shd w:fill="D0CECE" w:val="clear"/>
            <w:tcMar>
              <w:left w:w="0" w:type="dxa"/>
              <w:right w:w="0" w:type="dxa"/>
            </w:tcMar>
            <w:vAlign w:val="center"/>
          </w:tcPr>
          <w:p>
            <w:pPr>
              <w:pStyle w:val="TableContents"/>
              <w:bidi w:val="0"/>
              <w:spacing w:before="0" w:after="283"/>
              <w:ind w:left="0" w:right="0" w:firstLine="336"/>
              <w:jc w:val="left"/>
              <w:rPr>
                <w:rFonts w:ascii="Arial" w:hAnsi="Arial"/>
                <w:color w:val="000000"/>
                <w:sz w:val="15"/>
              </w:rPr>
            </w:pPr>
            <w:r>
              <w:rPr>
                <w:rFonts w:ascii="Arial" w:hAnsi="Arial"/>
                <w:color w:val="000000"/>
                <w:sz w:val="15"/>
              </w:rPr>
              <w:t>Description</w:t>
            </w:r>
          </w:p>
        </w:tc>
        <w:tc>
          <w:tcPr>
            <w:tcW w:w="1001" w:type="dxa"/>
            <w:tcBorders>
              <w:top w:val="single" w:sz="6" w:space="0" w:color="000000"/>
              <w:bottom w:val="single" w:sz="6" w:space="0" w:color="000000"/>
              <w:right w:val="single" w:sz="6" w:space="0" w:color="000000"/>
            </w:tcBorders>
            <w:shd w:fill="D0CECE" w:val="clear"/>
            <w:tcMar>
              <w:left w:w="0" w:type="dxa"/>
            </w:tcMar>
            <w:vAlign w:val="center"/>
          </w:tcPr>
          <w:p>
            <w:pPr>
              <w:pStyle w:val="TableContents"/>
              <w:bidi w:val="0"/>
              <w:spacing w:before="0" w:after="283"/>
              <w:ind w:left="336" w:right="0" w:firstLine="336"/>
              <w:jc w:val="left"/>
              <w:rPr>
                <w:rFonts w:ascii="Arial" w:hAnsi="Arial"/>
                <w:color w:val="000000"/>
                <w:sz w:val="15"/>
              </w:rPr>
            </w:pPr>
            <w:r>
              <w:rPr>
                <w:rFonts w:ascii="Arial" w:hAnsi="Arial"/>
                <w:color w:val="000000"/>
                <w:sz w:val="15"/>
              </w:rPr>
              <w:t>Amount</w:t>
            </w:r>
          </w:p>
        </w:tc>
        <w:tc>
          <w:tcPr>
            <w:tcW w:w="678" w:type="dxa"/>
            <w:tcBorders>
              <w:top w:val="single" w:sz="6" w:space="0" w:color="000000"/>
            </w:tcBorders>
            <w:tcMar>
              <w:left w:w="0" w:type="dxa"/>
              <w:bottom w:w="0" w:type="dxa"/>
              <w:right w:w="0" w:type="dxa"/>
            </w:tcMar>
            <w:vAlign w:val="center"/>
          </w:tcPr>
          <w:p>
            <w:pPr>
              <w:pStyle w:val="TableContents"/>
              <w:bidi w:val="0"/>
              <w:spacing w:before="0" w:after="283"/>
              <w:ind w:left="336" w:right="0" w:hanging="0"/>
              <w:jc w:val="left"/>
              <w:rPr/>
            </w:pPr>
            <w:r>
              <w:rPr/>
              <w:t> </w:t>
            </w:r>
          </w:p>
        </w:tc>
      </w:tr>
      <w:tr>
        <w:trPr/>
        <w:tc>
          <w:tcPr>
            <w:tcW w:w="421" w:type="dxa"/>
            <w:tcBorders>
              <w:left w:val="single" w:sz="6" w:space="0" w:color="000000"/>
              <w:bottom w:val="single" w:sz="6" w:space="0" w:color="ADA9A9"/>
            </w:tcBorders>
            <w:tcMar>
              <w:top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1</w:t>
            </w:r>
          </w:p>
        </w:tc>
        <w:tc>
          <w:tcPr>
            <w:tcW w:w="8105" w:type="dxa"/>
            <w:gridSpan w:val="2"/>
            <w:tcBorders>
              <w:bottom w:val="single" w:sz="6" w:space="0" w:color="ADA9A9"/>
            </w:tcBorders>
            <w:tcMar>
              <w:top w:w="0" w:type="dxa"/>
              <w:left w:w="0" w:type="dxa"/>
              <w:right w:w="0" w:type="dxa"/>
            </w:tcMar>
            <w:vAlign w:val="center"/>
          </w:tcPr>
          <w:p>
            <w:pPr>
              <w:pStyle w:val="TableContents"/>
              <w:bidi w:val="0"/>
              <w:spacing w:before="80" w:after="60"/>
              <w:jc w:val="left"/>
              <w:rPr>
                <w:rFonts w:ascii="Arial" w:hAnsi="Arial"/>
                <w:color w:val="000000"/>
                <w:sz w:val="16"/>
                <w:u w:val="single"/>
              </w:rPr>
            </w:pPr>
            <w:r>
              <w:rPr>
                <w:rFonts w:ascii="Arial" w:hAnsi="Arial"/>
                <w:color w:val="000000"/>
                <w:sz w:val="16"/>
                <w:u w:val="single"/>
              </w:rPr>
              <w:t>Landlord Credit for Egress Stair Finish upgrades. Upgraded stair finishes agreed to be provided by Tenant as part of Tenants Interior fit-out after lease execution.</w:t>
            </w:r>
          </w:p>
        </w:tc>
        <w:tc>
          <w:tcPr>
            <w:tcW w:w="1001" w:type="dxa"/>
            <w:tcBorders>
              <w:bottom w:val="single" w:sz="6" w:space="0" w:color="ADA9A9"/>
              <w:right w:val="single" w:sz="6" w:space="0" w:color="000000"/>
            </w:tcBorders>
            <w:tcMar>
              <w:top w:w="0" w:type="dxa"/>
              <w:left w:w="0" w:type="dxa"/>
            </w:tcMar>
            <w:vAlign w:val="center"/>
          </w:tcPr>
          <w:p>
            <w:pPr>
              <w:pStyle w:val="TableContents"/>
              <w:bidi w:val="0"/>
              <w:spacing w:before="0" w:after="283"/>
              <w:jc w:val="right"/>
              <w:rPr/>
            </w:pPr>
            <w:r>
              <w:rPr/>
              <w:t> </w:t>
            </w:r>
          </w:p>
        </w:tc>
        <w:tc>
          <w:tcPr>
            <w:tcW w:w="678" w:type="dxa"/>
            <w:tcBorders>
              <w:bottom w:val="single" w:sz="6" w:space="0" w:color="000000"/>
            </w:tcBorders>
            <w:tcMar>
              <w:top w:w="0" w:type="dxa"/>
              <w:left w:w="0" w:type="dxa"/>
              <w:right w:w="0" w:type="dxa"/>
            </w:tcMar>
            <w:vAlign w:val="center"/>
          </w:tcPr>
          <w:p>
            <w:pPr>
              <w:pStyle w:val="TableContents"/>
              <w:bidi w:val="0"/>
              <w:spacing w:before="11" w:after="283"/>
              <w:jc w:val="left"/>
              <w:rPr/>
            </w:pPr>
            <w:r>
              <w:rPr/>
              <w:t> </w:t>
            </w:r>
          </w:p>
        </w:tc>
      </w:tr>
      <w:tr>
        <w:trPr/>
        <w:tc>
          <w:tcPr>
            <w:tcW w:w="421" w:type="dxa"/>
            <w:tcBorders>
              <w:left w:val="single" w:sz="6" w:space="0" w:color="000000"/>
              <w:bottom w:val="single" w:sz="6" w:space="0" w:color="ADA9A9"/>
            </w:tcBorders>
            <w:tcMar>
              <w:top w:w="0" w:type="dxa"/>
              <w:right w:w="0" w:type="dxa"/>
            </w:tcMar>
            <w:vAlign w:val="center"/>
          </w:tcPr>
          <w:p>
            <w:pPr>
              <w:pStyle w:val="TableContents"/>
              <w:bidi w:val="0"/>
              <w:spacing w:before="0" w:after="283"/>
              <w:jc w:val="center"/>
              <w:rPr/>
            </w:pPr>
            <w:r>
              <w:rPr/>
              <w:t> </w:t>
            </w:r>
          </w:p>
        </w:tc>
        <w:tc>
          <w:tcPr>
            <w:tcW w:w="8105" w:type="dxa"/>
            <w:gridSpan w:val="2"/>
            <w:tcBorders>
              <w:bottom w:val="single" w:sz="6" w:space="0" w:color="ADA9A9"/>
            </w:tcBorders>
            <w:tcMar>
              <w:top w:w="0" w:type="dxa"/>
              <w:left w:w="0" w:type="dxa"/>
              <w:right w:w="0" w:type="dxa"/>
            </w:tcMar>
            <w:vAlign w:val="center"/>
          </w:tcPr>
          <w:p>
            <w:pPr>
              <w:pStyle w:val="TableContents"/>
              <w:bidi w:val="0"/>
              <w:spacing w:before="160" w:after="80"/>
              <w:jc w:val="left"/>
              <w:rPr>
                <w:rFonts w:ascii="Arial" w:hAnsi="Arial"/>
                <w:color w:val="000000"/>
                <w:sz w:val="16"/>
                <w:u w:val="single"/>
              </w:rPr>
            </w:pPr>
            <w:r>
              <w:rPr>
                <w:rFonts w:ascii="Arial" w:hAnsi="Arial"/>
                <w:color w:val="000000"/>
                <w:sz w:val="16"/>
                <w:u w:val="single"/>
              </w:rPr>
              <w:t>Vinyl Flooring - Pavilion flooring credit</w:t>
            </w:r>
          </w:p>
        </w:tc>
        <w:tc>
          <w:tcPr>
            <w:tcW w:w="1001" w:type="dxa"/>
            <w:tcBorders>
              <w:bottom w:val="single" w:sz="6" w:space="0" w:color="ADA9A9"/>
              <w:right w:val="single" w:sz="6" w:space="0" w:color="000000"/>
            </w:tcBorders>
            <w:tcMar>
              <w:top w:w="0" w:type="dxa"/>
              <w:left w:w="0" w:type="dxa"/>
            </w:tcMar>
            <w:vAlign w:val="center"/>
          </w:tcPr>
          <w:p>
            <w:pPr>
              <w:pStyle w:val="TableContents"/>
              <w:bidi w:val="0"/>
              <w:spacing w:before="160" w:after="80"/>
              <w:ind w:left="0" w:right="6" w:hanging="0"/>
              <w:jc w:val="right"/>
              <w:rPr>
                <w:rFonts w:ascii="Arial" w:hAnsi="Arial"/>
                <w:color w:val="000000"/>
                <w:sz w:val="15"/>
              </w:rPr>
            </w:pPr>
            <w:r>
              <w:rPr>
                <w:rFonts w:ascii="Arial" w:hAnsi="Arial"/>
                <w:color w:val="000000"/>
                <w:sz w:val="15"/>
              </w:rPr>
              <w:t>($37,400.00)</w:t>
            </w:r>
          </w:p>
        </w:tc>
        <w:tc>
          <w:tcPr>
            <w:tcW w:w="678"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21" w:type="dxa"/>
            <w:tcBorders>
              <w:left w:val="single" w:sz="6" w:space="0" w:color="000000"/>
              <w:bottom w:val="single" w:sz="6" w:space="0" w:color="ADA9A9"/>
            </w:tcBorders>
            <w:tcMar>
              <w:top w:w="0" w:type="dxa"/>
              <w:right w:w="0" w:type="dxa"/>
            </w:tcMar>
            <w:vAlign w:val="center"/>
          </w:tcPr>
          <w:p>
            <w:pPr>
              <w:pStyle w:val="TableContents"/>
              <w:bidi w:val="0"/>
              <w:spacing w:before="0" w:after="283"/>
              <w:jc w:val="center"/>
              <w:rPr/>
            </w:pPr>
            <w:r>
              <w:rPr/>
              <w:t> </w:t>
            </w:r>
          </w:p>
        </w:tc>
        <w:tc>
          <w:tcPr>
            <w:tcW w:w="8105" w:type="dxa"/>
            <w:gridSpan w:val="2"/>
            <w:tcBorders>
              <w:bottom w:val="single" w:sz="6" w:space="0" w:color="ADA9A9"/>
            </w:tcBorders>
            <w:tcMar>
              <w:top w:w="0" w:type="dxa"/>
              <w:left w:w="0" w:type="dxa"/>
              <w:right w:w="0" w:type="dxa"/>
            </w:tcMar>
            <w:vAlign w:val="center"/>
          </w:tcPr>
          <w:p>
            <w:pPr>
              <w:pStyle w:val="TableContents"/>
              <w:bidi w:val="0"/>
              <w:spacing w:before="160" w:after="80"/>
              <w:jc w:val="left"/>
              <w:rPr>
                <w:rFonts w:ascii="Arial" w:hAnsi="Arial"/>
                <w:color w:val="000000"/>
                <w:sz w:val="16"/>
                <w:u w:val="single"/>
              </w:rPr>
            </w:pPr>
            <w:r>
              <w:rPr>
                <w:rFonts w:ascii="Arial" w:hAnsi="Arial"/>
                <w:color w:val="000000"/>
                <w:sz w:val="16"/>
                <w:u w:val="single"/>
              </w:rPr>
              <w:t>Paint at Accent Wall - Estimate</w:t>
            </w:r>
          </w:p>
        </w:tc>
        <w:tc>
          <w:tcPr>
            <w:tcW w:w="1001" w:type="dxa"/>
            <w:tcBorders>
              <w:bottom w:val="single" w:sz="6" w:space="0" w:color="ADA9A9"/>
              <w:right w:val="single" w:sz="6" w:space="0" w:color="000000"/>
            </w:tcBorders>
            <w:tcMar>
              <w:top w:w="0" w:type="dxa"/>
              <w:left w:w="0" w:type="dxa"/>
            </w:tcMar>
            <w:vAlign w:val="center"/>
          </w:tcPr>
          <w:p>
            <w:pPr>
              <w:pStyle w:val="TableContents"/>
              <w:bidi w:val="0"/>
              <w:spacing w:before="160" w:after="80"/>
              <w:ind w:left="0" w:right="6" w:hanging="0"/>
              <w:jc w:val="right"/>
              <w:rPr>
                <w:rFonts w:ascii="Arial" w:hAnsi="Arial"/>
                <w:color w:val="000000"/>
                <w:sz w:val="15"/>
              </w:rPr>
            </w:pPr>
            <w:r>
              <w:rPr>
                <w:rFonts w:ascii="Arial" w:hAnsi="Arial"/>
                <w:color w:val="000000"/>
                <w:sz w:val="15"/>
              </w:rPr>
              <w:t>($18,200.00)</w:t>
            </w:r>
          </w:p>
        </w:tc>
        <w:tc>
          <w:tcPr>
            <w:tcW w:w="678" w:type="dxa"/>
            <w:tcBorders>
              <w:bottom w:val="single" w:sz="6" w:space="0" w:color="000000"/>
            </w:tcBorders>
            <w:tcMar>
              <w:top w:w="0" w:type="dxa"/>
              <w:left w:w="0" w:type="dxa"/>
              <w:right w:w="0" w:type="dxa"/>
            </w:tcMar>
            <w:vAlign w:val="center"/>
          </w:tcPr>
          <w:p>
            <w:pPr>
              <w:pStyle w:val="TableContents"/>
              <w:bidi w:val="0"/>
              <w:spacing w:before="80" w:after="60"/>
              <w:jc w:val="left"/>
              <w:rPr/>
            </w:pPr>
            <w:r>
              <w:rPr/>
              <w:t> </w:t>
            </w:r>
          </w:p>
        </w:tc>
      </w:tr>
      <w:tr>
        <w:trPr/>
        <w:tc>
          <w:tcPr>
            <w:tcW w:w="852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01"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78"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2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01"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78"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2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01"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78"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2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01"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78"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2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01"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78"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26" w:type="dxa"/>
            <w:gridSpan w:val="3"/>
            <w:tcBorders>
              <w:left w:val="single" w:sz="6" w:space="0" w:color="000000"/>
              <w:bottom w:val="single" w:sz="6" w:space="0" w:color="000000"/>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00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678" w:type="dxa"/>
            <w:vMerge w:val="restart"/>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77D4"/>
                <w:sz w:val="20"/>
              </w:rPr>
            </w:pPr>
            <w:r>
              <w:rPr>
                <w:rFonts w:ascii="Arial" w:hAnsi="Arial"/>
                <w:color w:val="0077D4"/>
                <w:sz w:val="20"/>
              </w:rPr>
              <w:t>OK MC</w:t>
            </w:r>
          </w:p>
        </w:tc>
      </w:tr>
      <w:tr>
        <w:trPr/>
        <w:tc>
          <w:tcPr>
            <w:tcW w:w="1757" w:type="dxa"/>
            <w:gridSpan w:val="2"/>
            <w:tcBorders>
              <w:right w:val="single" w:sz="6" w:space="0" w:color="000000"/>
            </w:tcBorders>
            <w:tcMar>
              <w:top w:w="0" w:type="dxa"/>
              <w:left w:w="0" w:type="dxa"/>
              <w:bottom w:w="0" w:type="dxa"/>
            </w:tcMar>
            <w:vAlign w:val="center"/>
          </w:tcPr>
          <w:p>
            <w:pPr>
              <w:pStyle w:val="TableContents"/>
              <w:bidi w:val="0"/>
              <w:spacing w:before="0" w:after="283"/>
              <w:ind w:left="0" w:right="0" w:firstLine="23"/>
              <w:jc w:val="left"/>
              <w:rPr/>
            </w:pPr>
            <w:r>
              <w:rPr/>
              <w:t> </w:t>
            </w:r>
          </w:p>
        </w:tc>
        <w:tc>
          <w:tcPr>
            <w:tcW w:w="6769" w:type="dxa"/>
            <w:tcBorders>
              <w:bottom w:val="single" w:sz="6" w:space="0" w:color="000000"/>
            </w:tcBorders>
            <w:tcMar>
              <w:top w:w="0" w:type="dxa"/>
              <w:left w:w="0" w:type="dxa"/>
              <w:right w:w="0" w:type="dxa"/>
            </w:tcMar>
            <w:vAlign w:val="center"/>
          </w:tcPr>
          <w:p>
            <w:pPr>
              <w:pStyle w:val="TableContents"/>
              <w:bidi w:val="0"/>
              <w:spacing w:before="15" w:after="283"/>
              <w:ind w:left="0" w:right="0" w:firstLine="23"/>
              <w:jc w:val="left"/>
              <w:rPr>
                <w:rFonts w:ascii="Times New Roman" w:hAnsi="Times New Roman"/>
                <w:sz w:val="13"/>
              </w:rPr>
            </w:pPr>
            <w:r>
              <w:rPr>
                <w:rFonts w:ascii="Arial" w:hAnsi="Arial"/>
                <w:b/>
                <w:color w:val="000000"/>
                <w:sz w:val="13"/>
              </w:rPr>
              <w:t>TOTAL</w:t>
            </w:r>
            <w:r>
              <w:rPr>
                <w:rFonts w:ascii="Times New Roman" w:hAnsi="Times New Roman"/>
                <w:color w:val="000000"/>
                <w:sz w:val="13"/>
              </w:rPr>
              <w:t xml:space="preserve"> </w:t>
            </w:r>
            <w:r>
              <w:rPr>
                <w:rFonts w:ascii="Arial" w:hAnsi="Arial"/>
                <w:b/>
                <w:color w:val="000000"/>
                <w:sz w:val="13"/>
              </w:rPr>
              <w:t>CO#20</w:t>
            </w:r>
          </w:p>
        </w:tc>
        <w:tc>
          <w:tcPr>
            <w:tcW w:w="1001" w:type="dxa"/>
            <w:tcBorders>
              <w:bottom w:val="single" w:sz="6" w:space="0" w:color="000000"/>
              <w:right w:val="single" w:sz="6" w:space="0" w:color="000000"/>
            </w:tcBorders>
            <w:tcMar>
              <w:top w:w="0" w:type="dxa"/>
              <w:left w:w="0" w:type="dxa"/>
            </w:tcMar>
            <w:vAlign w:val="center"/>
          </w:tcPr>
          <w:p>
            <w:pPr>
              <w:pStyle w:val="TableContents"/>
              <w:bidi w:val="0"/>
              <w:spacing w:before="15" w:after="283"/>
              <w:ind w:left="23" w:right="0" w:firstLine="23"/>
              <w:jc w:val="right"/>
              <w:rPr>
                <w:rFonts w:ascii="Arial" w:hAnsi="Arial"/>
                <w:b/>
                <w:color w:val="000000"/>
                <w:sz w:val="12"/>
              </w:rPr>
            </w:pPr>
            <w:r>
              <w:rPr>
                <w:rFonts w:ascii="Arial" w:hAnsi="Arial"/>
                <w:b/>
                <w:color w:val="000000"/>
                <w:sz w:val="12"/>
              </w:rPr>
              <w:t>($55,600.00)</w:t>
            </w:r>
          </w:p>
        </w:tc>
        <w:tc>
          <w:tcPr>
            <w:tcW w:w="678" w:type="dxa"/>
            <w:vMerge w:val="continue"/>
            <w:tcBorders>
              <w:bottom w:val="single" w:sz="6" w:space="0" w:color="000000"/>
            </w:tcBorders>
            <w:tcMar>
              <w:top w:w="0" w:type="dxa"/>
              <w:left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CarGurus acknowledges and agrees that (a) this change order constitutes a Tenant Change Order subject to and in accordance with the terms of the Lease; and (b) (i) it will pay to Landlord, as Additional Rent under the Lease, the actual amount of the increased costs and expenses resulting from this Tenant Change Order, and (ii) any and all delays resulting from the work contemplated by or resulting from this Tenant Change Order shall constitute a Tenant Delay under the Lease. Capitalized terms used but not defined herein shall have the meaning ascribed to them in the Lease. Please countersign this change order in the space below to confirm your agreement.</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5"/>
        </w:rPr>
      </w:pPr>
      <w:r>
        <w:rPr>
          <w:rFonts w:ascii="Arial" w:hAnsi="Arial"/>
          <w:color w:val="000000"/>
          <w:sz w:val="15"/>
        </w:rPr>
        <w:t>Sincerely,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5"/>
        </w:rPr>
        <w:t>P-12</w:t>
      </w:r>
      <w:r>
        <w:rPr>
          <w:rFonts w:ascii="Times New Roman" w:hAnsi="Times New Roman"/>
          <w:color w:val="000000"/>
          <w:sz w:val="20"/>
        </w:rPr>
        <w:t xml:space="preserve"> </w:t>
      </w:r>
      <w:r>
        <w:rPr>
          <w:rFonts w:ascii="Arial" w:hAnsi="Arial"/>
          <w:b/>
          <w:color w:val="000000"/>
          <w:sz w:val="15"/>
        </w:rPr>
        <w:t>Property</w:t>
      </w:r>
      <w:r>
        <w:rPr>
          <w:rFonts w:ascii="Times New Roman" w:hAnsi="Times New Roman"/>
          <w:color w:val="000000"/>
          <w:sz w:val="20"/>
        </w:rPr>
        <w:t xml:space="preserve"> </w:t>
      </w:r>
      <w:r>
        <w:rPr>
          <w:rFonts w:ascii="Arial" w:hAnsi="Arial"/>
          <w:b/>
          <w:color w:val="000000"/>
          <w:sz w:val="15"/>
        </w:rPr>
        <w:t>LLC</w:t>
      </w:r>
    </w:p>
    <w:p>
      <w:pPr>
        <w:pStyle w:val="TextBody"/>
        <w:bidi w:val="0"/>
        <w:spacing w:before="120" w:after="283"/>
        <w:jc w:val="left"/>
        <w:rPr/>
      </w:pPr>
      <w:r>
        <w:rPr/>
        <w:t> </w:t>
      </w:r>
    </w:p>
    <w:tbl>
      <w:tblPr>
        <w:tblW w:w="2209" w:type="dxa"/>
        <w:jc w:val="left"/>
        <w:tblInd w:w="0" w:type="dxa"/>
        <w:tblLayout w:type="fixed"/>
        <w:tblCellMar>
          <w:top w:w="28" w:type="dxa"/>
          <w:left w:w="28" w:type="dxa"/>
          <w:bottom w:w="28" w:type="dxa"/>
          <w:right w:w="28" w:type="dxa"/>
        </w:tblCellMar>
      </w:tblPr>
      <w:tblGrid>
        <w:gridCol w:w="1270"/>
        <w:gridCol w:w="939"/>
      </w:tblGrid>
      <w:tr>
        <w:trPr/>
        <w:tc>
          <w:tcPr>
            <w:tcW w:w="12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ind w:left="0" w:right="0" w:firstLine="19"/>
              <w:jc w:val="left"/>
              <w:rPr>
                <w:sz w:val="4"/>
                <w:szCs w:val="4"/>
              </w:rPr>
            </w:pPr>
            <w:r>
              <w:rPr>
                <w:sz w:val="4"/>
                <w:szCs w:val="4"/>
              </w:rPr>
            </w:r>
          </w:p>
        </w:tc>
      </w:tr>
      <w:tr>
        <w:trPr/>
        <w:tc>
          <w:tcPr>
            <w:tcW w:w="2209" w:type="dxa"/>
            <w:gridSpan w:val="2"/>
            <w:tcBorders>
              <w:top w:val="single" w:sz="4" w:space="0" w:color="000000"/>
              <w:left w:val="single" w:sz="4" w:space="0" w:color="000000"/>
              <w:bottom w:val="single" w:sz="4" w:space="0" w:color="000000"/>
              <w:right w:val="single" w:sz="4" w:space="0" w:color="000000"/>
            </w:tcBorders>
            <w:shd w:fill="D9E1F2" w:val="clear"/>
            <w:vAlign w:val="center"/>
          </w:tcPr>
          <w:p>
            <w:pPr>
              <w:pStyle w:val="TableContents"/>
              <w:bidi w:val="0"/>
              <w:spacing w:before="17" w:after="283"/>
              <w:ind w:left="19" w:right="0" w:firstLine="19"/>
              <w:jc w:val="left"/>
              <w:rPr>
                <w:rFonts w:ascii="Times New Roman" w:hAnsi="Times New Roman"/>
                <w:sz w:val="13"/>
              </w:rPr>
            </w:pPr>
            <w:r>
              <w:rPr>
                <w:rFonts w:ascii="Arial" w:hAnsi="Arial"/>
                <w:b/>
                <w:color w:val="000000"/>
                <w:sz w:val="13"/>
              </w:rPr>
              <w:t>Acknowledged</w:t>
            </w:r>
            <w:r>
              <w:rPr>
                <w:rFonts w:ascii="Times New Roman" w:hAnsi="Times New Roman"/>
                <w:color w:val="000000"/>
                <w:sz w:val="13"/>
              </w:rPr>
              <w:t xml:space="preserve"> </w:t>
            </w:r>
            <w:r>
              <w:rPr>
                <w:rFonts w:ascii="Arial" w:hAnsi="Arial"/>
                <w:b/>
                <w:color w:val="000000"/>
                <w:sz w:val="13"/>
              </w:rPr>
              <w:t>and</w:t>
            </w:r>
            <w:r>
              <w:rPr>
                <w:rFonts w:ascii="Times New Roman" w:hAnsi="Times New Roman"/>
                <w:color w:val="000000"/>
                <w:sz w:val="13"/>
              </w:rPr>
              <w:t xml:space="preserve"> </w:t>
            </w:r>
            <w:r>
              <w:rPr>
                <w:rFonts w:ascii="Arial" w:hAnsi="Arial"/>
                <w:b/>
                <w:color w:val="000000"/>
                <w:sz w:val="13"/>
              </w:rPr>
              <w:t>Agreed</w:t>
            </w:r>
            <w:r>
              <w:rPr>
                <w:rFonts w:ascii="Times New Roman" w:hAnsi="Times New Roman"/>
                <w:color w:val="000000"/>
                <w:sz w:val="13"/>
              </w:rPr>
              <w:t xml:space="preserve"> </w:t>
            </w:r>
            <w:r>
              <w:rPr>
                <w:rFonts w:ascii="Arial" w:hAnsi="Arial"/>
                <w:b/>
                <w:color w:val="000000"/>
                <w:sz w:val="13"/>
              </w:rPr>
              <w:t>to</w:t>
            </w:r>
            <w:r>
              <w:rPr>
                <w:rFonts w:ascii="Times New Roman" w:hAnsi="Times New Roman"/>
                <w:color w:val="000000"/>
                <w:sz w:val="13"/>
              </w:rPr>
              <w:t xml:space="preserve"> </w:t>
            </w:r>
            <w:r>
              <w:rPr>
                <w:rFonts w:ascii="Arial" w:hAnsi="Arial"/>
                <w:b/>
                <w:color w:val="000000"/>
                <w:sz w:val="13"/>
              </w:rPr>
              <w:t>by:</w:t>
            </w:r>
          </w:p>
        </w:tc>
      </w:tr>
      <w:tr>
        <w:trPr/>
        <w:tc>
          <w:tcPr>
            <w:tcW w:w="2209" w:type="dxa"/>
            <w:gridSpan w:val="2"/>
            <w:tcBorders/>
            <w:tcMar>
              <w:top w:w="0" w:type="dxa"/>
              <w:left w:w="0" w:type="dxa"/>
              <w:bottom w:w="0" w:type="dxa"/>
              <w:right w:w="0" w:type="dxa"/>
            </w:tcMar>
            <w:vAlign w:val="center"/>
          </w:tcPr>
          <w:p>
            <w:pPr>
              <w:pStyle w:val="TableContents"/>
              <w:bidi w:val="0"/>
              <w:spacing w:before="23" w:after="283"/>
              <w:jc w:val="left"/>
              <w:rPr>
                <w:rFonts w:ascii="Times New Roman" w:hAnsi="Times New Roman"/>
                <w:sz w:val="13"/>
              </w:rPr>
            </w:pPr>
            <w:r>
              <w:rPr>
                <w:rFonts w:ascii="Arial" w:hAnsi="Arial"/>
                <w:b/>
                <w:color w:val="000000"/>
                <w:sz w:val="13"/>
              </w:rPr>
              <w:t>CarGurus,</w:t>
            </w:r>
            <w:r>
              <w:rPr>
                <w:rFonts w:ascii="Times New Roman" w:hAnsi="Times New Roman"/>
                <w:color w:val="000000"/>
                <w:sz w:val="13"/>
              </w:rPr>
              <w:t xml:space="preserve"> </w:t>
            </w:r>
            <w:r>
              <w:rPr>
                <w:rFonts w:ascii="Arial" w:hAnsi="Arial"/>
                <w:b/>
                <w:color w:val="000000"/>
                <w:sz w:val="13"/>
              </w:rPr>
              <w:t>Inc.</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x /s/ Brandon Morrill</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Signtature</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Brandon Morrill</w:t>
            </w:r>
          </w:p>
        </w:tc>
        <w:tc>
          <w:tcPr>
            <w:tcW w:w="93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4/12/2024</w:t>
            </w:r>
          </w:p>
        </w:tc>
      </w:tr>
    </w:tbl>
    <w:p>
      <w:pPr>
        <w:pStyle w:val="TextBody"/>
        <w:bidi w:val="0"/>
        <w:spacing w:before="1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267450" cy="804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6267450" cy="8048625"/>
                    </a:xfrm>
                    <a:prstGeom prst="rect">
                      <a:avLst/>
                    </a:prstGeom>
                  </pic:spPr>
                </pic:pic>
              </a:graphicData>
            </a:graphic>
          </wp:inline>
        </w:drawing>
      </w:r>
      <w:r>
        <w:rPr/>
        <w:t> </w:t>
      </w:r>
    </w:p>
    <w:p>
      <w:pPr>
        <w:pStyle w:val="TextBody"/>
        <w:bidi w:val="0"/>
        <w:jc w:val="left"/>
        <w:rPr>
          <w:rFonts w:ascii="Times New Roman" w:hAnsi="Times New Roman"/>
          <w:sz w:val="20"/>
        </w:rPr>
      </w:pPr>
      <w:r>
        <w:rPr>
          <w:rFonts w:ascii="Arial" w:hAnsi="Arial"/>
          <w:color w:val="FFFFFF"/>
          <w:sz w:val="2"/>
        </w:rPr>
        <w:t xml:space="preserve">1001 Boylston – Office Core/Shell Scope LOI “Exhibit B” – Revised 11-7-19 Scope Item Responsibility Tenant Landlord As Existing Comments Floor Common Area Base building mechanical/electric/tel-data rooms – flooring, wall base, painted GBW walls Taped and sanded GWB at Tenant side of core and mechanical rooms Type X GWB at interior face of exterior walls GWB at column enclosures X X X X GWB by landlord at all column locations that BB infrastructure occurs (i.e.: rain leaders). – Landlord to credit cost for gwb walls at columns with BB infrastructure. Tenant to provide as part of Tenant Interiors work. Base building door frames, doors, and hardware Shaft enclosures for Tenant provided systems withing building core X X X Partitions, ceilings, floorings, painting, fishers, doors, millwork, and all build-out withing Tenant area Base building toilet rooms – Title or polished concrete floors, partial tile coverage on walls, finished ceiling, ADA bathroom accessories, fixtures,, hand dryers, and toilet partitions (with privacy panels) X X X X X X X X X Meet 100 SF per person Tenant kitchens, and Tenant fit-out toilet rooms including plumbing Mechanical/electric/tel-data rooms for individual Tenant systems Horizontal window blinds and/or window treatments (See LL standard shade, color, and mounting detail) Exit stairs – finishes include painted stringer, risers, and railings, sealed concrete floor and treads, vinyl base at landings, painted GWB walls (except at concrete core), no ceilings X Furnish and install of a larger, dressed up stair to act as a communication stair X Landlord to provide paint and flooring at one (1) exit stair at tenant floors to act as a communicating stair. Vestibule at freight elevator/mechanical spaces including electrified door lock to receive cared reader ELEVATORS Garage passenger elevator serving garage levels Office tower passenger elevators Building common fire extinguishers Tenant fire extinguishers Tenant equipment Patio heat to extend season usage X X X X X X Heat Lamps to be provided where feasible. South Terrace to be reviewed for alternative methods. Snow/ice melting decking on patio X </w:t>
      </w:r>
      <w:r>
        <w:rPr>
          <w:rFonts w:ascii="Arial" w:hAnsi="Arial"/>
          <w:strike/>
          <w:color w:val="FFFFFF"/>
          <w:sz w:val="2"/>
        </w:rPr>
        <w:t xml:space="preserve">X </w:t>
      </w:r>
      <w:r>
        <w:rPr>
          <w:rFonts w:ascii="Arial" w:hAnsi="Arial"/>
          <w:color w:val="FFFFFF"/>
          <w:sz w:val="2"/>
        </w:rPr>
        <w:t>No Patio – Exterior lighting, pavers, convenience power outlets PLUMBING Underground utility piping (water, waste, gas) to main service points and base building equipment Domestic water to base building fixtures HW generation for base building toilet rooms 2” domestic cold water stubbed into Tenant area and capped for Tenant use Domestic water distribution within Tenant premises Waste and vent service for base building areas</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Exhibit 2.1-1, Page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8" w:after="283"/>
        <w:jc w:val="center"/>
        <w:rPr>
          <w:rFonts w:ascii="Times New Roman" w:hAnsi="Times New Roman"/>
          <w:sz w:val="20"/>
        </w:rPr>
      </w:pPr>
      <w:bookmarkStart w:id="32" w:name="change_order__21_dated_april_12__2024__w"/>
      <w:bookmarkEnd w:id="32"/>
      <w:r>
        <w:rPr>
          <w:rFonts w:ascii="Arial" w:hAnsi="Arial"/>
          <w:color w:val="000000"/>
          <w:sz w:val="27"/>
        </w:rPr>
        <w:t>Parcel</w:t>
      </w:r>
      <w:r>
        <w:rPr>
          <w:rFonts w:ascii="Times New Roman" w:hAnsi="Times New Roman"/>
          <w:color w:val="000000"/>
          <w:sz w:val="20"/>
        </w:rPr>
        <w:t xml:space="preserve"> </w:t>
      </w:r>
      <w:r>
        <w:rPr>
          <w:rFonts w:ascii="Arial" w:hAnsi="Arial"/>
          <w:color w:val="000000"/>
          <w:sz w:val="27"/>
        </w:rPr>
        <w:t>12</w:t>
      </w:r>
    </w:p>
    <w:p>
      <w:pPr>
        <w:pStyle w:val="TextBody"/>
        <w:bidi w:val="0"/>
        <w:spacing w:before="16" w:after="283"/>
        <w:jc w:val="center"/>
        <w:rPr>
          <w:rFonts w:ascii="Times New Roman" w:hAnsi="Times New Roman"/>
          <w:sz w:val="20"/>
        </w:rPr>
      </w:pPr>
      <w:r>
        <w:rPr>
          <w:rFonts w:ascii="Arial" w:hAnsi="Arial"/>
          <w:color w:val="000000"/>
          <w:sz w:val="17"/>
        </w:rPr>
        <w:t>Boston,</w:t>
      </w:r>
      <w:r>
        <w:rPr>
          <w:rFonts w:ascii="Times New Roman" w:hAnsi="Times New Roman"/>
          <w:color w:val="000000"/>
          <w:sz w:val="20"/>
        </w:rPr>
        <w:t xml:space="preserve"> </w:t>
      </w:r>
      <w:r>
        <w:rPr>
          <w:rFonts w:ascii="Arial" w:hAnsi="Arial"/>
          <w:color w:val="000000"/>
          <w:sz w:val="17"/>
        </w:rPr>
        <w:t>MA</w:t>
      </w:r>
    </w:p>
    <w:p>
      <w:pPr>
        <w:pStyle w:val="TextBody"/>
        <w:bidi w:val="0"/>
        <w:spacing w:before="1" w:after="283"/>
        <w:jc w:val="left"/>
        <w:rPr/>
      </w:pPr>
      <w:r>
        <w:rPr/>
        <w:t> </w:t>
      </w:r>
    </w:p>
    <w:tbl>
      <w:tblPr>
        <w:tblW w:w="3757" w:type="dxa"/>
        <w:jc w:val="left"/>
        <w:tblInd w:w="0" w:type="dxa"/>
        <w:tblLayout w:type="fixed"/>
        <w:tblCellMar>
          <w:top w:w="28" w:type="dxa"/>
          <w:left w:w="28" w:type="dxa"/>
          <w:bottom w:w="28" w:type="dxa"/>
          <w:right w:w="28" w:type="dxa"/>
        </w:tblCellMar>
      </w:tblPr>
      <w:tblGrid>
        <w:gridCol w:w="1392"/>
        <w:gridCol w:w="2365"/>
      </w:tblGrid>
      <w:tr>
        <w:trPr/>
        <w:tc>
          <w:tcPr>
            <w:tcW w:w="1392"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r>
      <w:tr>
        <w:trPr/>
        <w:tc>
          <w:tcPr>
            <w:tcW w:w="3757"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83"/>
              <w:ind w:left="0" w:right="7" w:hanging="0"/>
              <w:jc w:val="center"/>
              <w:rPr>
                <w:rFonts w:ascii="Arial" w:hAnsi="Arial"/>
                <w:color w:val="000000"/>
                <w:sz w:val="22"/>
              </w:rPr>
            </w:pPr>
            <w:r>
              <w:rPr>
                <w:rFonts w:ascii="Arial" w:hAnsi="Arial"/>
                <w:color w:val="000000"/>
                <w:sz w:val="22"/>
              </w:rPr>
              <w:t>CarGurus Tenant Change Order #21</w:t>
            </w:r>
          </w:p>
        </w:tc>
      </w:tr>
      <w:tr>
        <w:trPr/>
        <w:tc>
          <w:tcPr>
            <w:tcW w:w="13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6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Date:</w:t>
            </w:r>
          </w:p>
        </w:tc>
        <w:tc>
          <w:tcPr>
            <w:tcW w:w="23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3/29/2024</w:t>
            </w:r>
          </w:p>
        </w:tc>
      </w:tr>
    </w:tbl>
    <w:p>
      <w:pPr>
        <w:pStyle w:val="TextBody"/>
        <w:bidi w:val="0"/>
        <w:spacing w:before="45" w:after="283"/>
        <w:jc w:val="left"/>
        <w:rPr/>
      </w:pPr>
      <w:r>
        <w:rPr/>
        <w:t> </w:t>
      </w:r>
    </w:p>
    <w:p>
      <w:pPr>
        <w:pStyle w:val="TextBody"/>
        <w:bidi w:val="0"/>
        <w:spacing w:before="45" w:after="283"/>
        <w:jc w:val="left"/>
        <w:rPr>
          <w:rFonts w:ascii="Arial" w:hAnsi="Arial"/>
          <w:color w:val="000000"/>
          <w:sz w:val="13"/>
        </w:rPr>
      </w:pPr>
      <w:r>
        <w:rPr>
          <w:rFonts w:ascii="Arial" w:hAnsi="Arial"/>
          <w:color w:val="000000"/>
          <w:sz w:val="13"/>
        </w:rPr>
        <w:t>CarGurus, Inc.</w:t>
      </w:r>
    </w:p>
    <w:p>
      <w:pPr>
        <w:pStyle w:val="TextBody"/>
        <w:bidi w:val="0"/>
        <w:spacing w:before="45" w:after="283"/>
        <w:jc w:val="left"/>
        <w:rPr>
          <w:rFonts w:ascii="Arial" w:hAnsi="Arial"/>
          <w:color w:val="000000"/>
          <w:sz w:val="13"/>
        </w:rPr>
      </w:pPr>
      <w:r>
        <w:rPr>
          <w:rFonts w:ascii="Arial" w:hAnsi="Arial"/>
          <w:color w:val="000000"/>
          <w:sz w:val="13"/>
        </w:rPr>
        <w:t>2 Canal Park</w:t>
      </w:r>
    </w:p>
    <w:p>
      <w:pPr>
        <w:pStyle w:val="TextBody"/>
        <w:bidi w:val="0"/>
        <w:spacing w:before="33" w:after="283"/>
        <w:jc w:val="left"/>
        <w:rPr>
          <w:rFonts w:ascii="Arial" w:hAnsi="Arial"/>
          <w:color w:val="000000"/>
          <w:sz w:val="13"/>
        </w:rPr>
      </w:pPr>
      <w:r>
        <w:rPr>
          <w:rFonts w:ascii="Arial" w:hAnsi="Arial"/>
          <w:color w:val="000000"/>
          <w:sz w:val="13"/>
        </w:rPr>
        <w:t>Cambridge, MA 02141</w:t>
      </w:r>
    </w:p>
    <w:p>
      <w:pPr>
        <w:pStyle w:val="TextBody"/>
        <w:bidi w:val="0"/>
        <w:spacing w:before="33" w:after="283"/>
        <w:jc w:val="left"/>
        <w:rPr/>
      </w:pPr>
      <w:r>
        <w:rPr/>
        <w:t> </w:t>
      </w:r>
    </w:p>
    <w:p>
      <w:pPr>
        <w:pStyle w:val="TextBody"/>
        <w:bidi w:val="0"/>
        <w:spacing w:before="33" w:after="283"/>
        <w:jc w:val="left"/>
        <w:rPr>
          <w:rFonts w:ascii="Arial" w:hAnsi="Arial"/>
          <w:color w:val="000000"/>
          <w:sz w:val="13"/>
        </w:rPr>
      </w:pPr>
      <w:r>
        <w:rPr>
          <w:rFonts w:ascii="Arial" w:hAnsi="Arial"/>
          <w:color w:val="000000"/>
          <w:sz w:val="13"/>
        </w:rPr>
        <w:t>Mr. John Hart:</w:t>
      </w:r>
    </w:p>
    <w:p>
      <w:pPr>
        <w:pStyle w:val="TextBody"/>
        <w:bidi w:val="0"/>
        <w:spacing w:before="33" w:after="283"/>
        <w:jc w:val="left"/>
        <w:rPr/>
      </w:pPr>
      <w:r>
        <w:rPr/>
        <w:t> </w:t>
      </w:r>
    </w:p>
    <w:p>
      <w:pPr>
        <w:pStyle w:val="TextBody"/>
        <w:bidi w:val="0"/>
        <w:spacing w:before="2" w:after="283"/>
        <w:jc w:val="left"/>
        <w:rPr>
          <w:rFonts w:ascii="Arial" w:hAnsi="Arial"/>
          <w:color w:val="000000"/>
          <w:sz w:val="13"/>
        </w:rPr>
      </w:pPr>
      <w:r>
        <w:rPr>
          <w:rFonts w:ascii="Arial" w:hAnsi="Arial"/>
          <w:color w:val="000000"/>
          <w:sz w:val="13"/>
        </w:rPr>
        <w:t>RE: Change Order - Lease by and between Cargurus, Inc. ("CarGurus") and P-12 Property LLC ("Landlord"), dated December 19, 2019, as amended (the “Lease”)</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Pursuant to the Lease, CarGurus has requested modifications to the Base Building Plans and Specifications to accomodate Tenant's design of Tenant's Work, which request requires this change order to such plans and specifications. The work to be performed as a result of this change order is summarized as follows and described in more detail on Exhibit A attached hereto:</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1"/>
        <w:gridCol w:w="1339"/>
        <w:gridCol w:w="6789"/>
        <w:gridCol w:w="996"/>
        <w:gridCol w:w="660"/>
      </w:tblGrid>
      <w:tr>
        <w:trPr/>
        <w:tc>
          <w:tcPr>
            <w:tcW w:w="42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78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21" w:type="dxa"/>
            <w:tcBorders>
              <w:top w:val="single" w:sz="6" w:space="0" w:color="000000"/>
              <w:left w:val="single" w:sz="6" w:space="0" w:color="000000"/>
              <w:bottom w:val="single" w:sz="6" w:space="0" w:color="000000"/>
            </w:tcBorders>
            <w:shd w:fill="D0CECE" w:val="clear"/>
            <w:tcMar>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Item</w:t>
            </w:r>
          </w:p>
        </w:tc>
        <w:tc>
          <w:tcPr>
            <w:tcW w:w="8128" w:type="dxa"/>
            <w:gridSpan w:val="2"/>
            <w:tcBorders>
              <w:top w:val="single" w:sz="6" w:space="0" w:color="000000"/>
              <w:bottom w:val="single" w:sz="6" w:space="0" w:color="000000"/>
            </w:tcBorders>
            <w:shd w:fill="D0CECE" w:val="clear"/>
            <w:tcMar>
              <w:left w:w="0" w:type="dxa"/>
              <w:right w:w="0" w:type="dxa"/>
            </w:tcMar>
            <w:vAlign w:val="center"/>
          </w:tcPr>
          <w:p>
            <w:pPr>
              <w:pStyle w:val="TableContents"/>
              <w:bidi w:val="0"/>
              <w:spacing w:before="0" w:after="283"/>
              <w:ind w:left="0" w:right="0" w:firstLine="336"/>
              <w:jc w:val="left"/>
              <w:rPr>
                <w:rFonts w:ascii="Arial" w:hAnsi="Arial"/>
                <w:color w:val="000000"/>
                <w:sz w:val="15"/>
              </w:rPr>
            </w:pPr>
            <w:r>
              <w:rPr>
                <w:rFonts w:ascii="Arial" w:hAnsi="Arial"/>
                <w:color w:val="000000"/>
                <w:sz w:val="15"/>
              </w:rPr>
              <w:t>Description</w:t>
            </w:r>
          </w:p>
        </w:tc>
        <w:tc>
          <w:tcPr>
            <w:tcW w:w="996" w:type="dxa"/>
            <w:tcBorders>
              <w:top w:val="single" w:sz="6" w:space="0" w:color="000000"/>
              <w:bottom w:val="single" w:sz="6" w:space="0" w:color="000000"/>
              <w:right w:val="single" w:sz="6" w:space="0" w:color="000000"/>
            </w:tcBorders>
            <w:shd w:fill="D0CECE" w:val="clear"/>
            <w:tcMar>
              <w:left w:w="0" w:type="dxa"/>
            </w:tcMar>
            <w:vAlign w:val="center"/>
          </w:tcPr>
          <w:p>
            <w:pPr>
              <w:pStyle w:val="TableContents"/>
              <w:bidi w:val="0"/>
              <w:spacing w:before="0" w:after="283"/>
              <w:ind w:left="336" w:right="0" w:firstLine="336"/>
              <w:jc w:val="left"/>
              <w:rPr>
                <w:rFonts w:ascii="Arial" w:hAnsi="Arial"/>
                <w:color w:val="000000"/>
                <w:sz w:val="15"/>
              </w:rPr>
            </w:pPr>
            <w:r>
              <w:rPr>
                <w:rFonts w:ascii="Arial" w:hAnsi="Arial"/>
                <w:color w:val="000000"/>
                <w:sz w:val="15"/>
              </w:rPr>
              <w:t>Amount</w:t>
            </w:r>
          </w:p>
        </w:tc>
        <w:tc>
          <w:tcPr>
            <w:tcW w:w="660" w:type="dxa"/>
            <w:tcBorders>
              <w:top w:val="single" w:sz="6" w:space="0" w:color="000000"/>
            </w:tcBorders>
            <w:tcMar>
              <w:left w:w="0" w:type="dxa"/>
              <w:bottom w:w="0" w:type="dxa"/>
              <w:right w:w="0" w:type="dxa"/>
            </w:tcMar>
            <w:vAlign w:val="center"/>
          </w:tcPr>
          <w:p>
            <w:pPr>
              <w:pStyle w:val="TableContents"/>
              <w:bidi w:val="0"/>
              <w:spacing w:before="0" w:after="283"/>
              <w:ind w:left="336" w:right="0" w:hanging="0"/>
              <w:jc w:val="left"/>
              <w:rPr/>
            </w:pPr>
            <w:r>
              <w:rPr/>
              <w:t> </w:t>
            </w:r>
          </w:p>
        </w:tc>
      </w:tr>
      <w:tr>
        <w:trPr/>
        <w:tc>
          <w:tcPr>
            <w:tcW w:w="421" w:type="dxa"/>
            <w:tcBorders>
              <w:left w:val="single" w:sz="6" w:space="0" w:color="000000"/>
              <w:bottom w:val="single" w:sz="6" w:space="0" w:color="ADA9A9"/>
            </w:tcBorders>
            <w:tcMar>
              <w:top w:w="0" w:type="dxa"/>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1</w:t>
            </w:r>
          </w:p>
        </w:tc>
        <w:tc>
          <w:tcPr>
            <w:tcW w:w="8128" w:type="dxa"/>
            <w:gridSpan w:val="2"/>
            <w:tcBorders>
              <w:bottom w:val="single" w:sz="6" w:space="0" w:color="ADA9A9"/>
            </w:tcBorders>
            <w:tcMar>
              <w:top w:w="0" w:type="dxa"/>
              <w:left w:w="0" w:type="dxa"/>
              <w:right w:w="0" w:type="dxa"/>
            </w:tcMar>
            <w:vAlign w:val="center"/>
          </w:tcPr>
          <w:p>
            <w:pPr>
              <w:pStyle w:val="TableContents"/>
              <w:bidi w:val="0"/>
              <w:spacing w:before="74" w:after="283"/>
              <w:jc w:val="left"/>
              <w:rPr>
                <w:rFonts w:ascii="Times New Roman" w:hAnsi="Times New Roman"/>
                <w:sz w:val="16"/>
              </w:rPr>
            </w:pPr>
            <w:r>
              <w:rPr>
                <w:rFonts w:ascii="Arial" w:hAnsi="Arial"/>
                <w:color w:val="000000"/>
                <w:sz w:val="16"/>
                <w:u w:val="single"/>
              </w:rPr>
              <w:t>Landlord Credit for South side window treatment. Window treatment at south elevation</w:t>
            </w:r>
            <w:r>
              <w:rPr>
                <w:rFonts w:ascii="Times New Roman" w:hAnsi="Times New Roman"/>
                <w:color w:val="000000"/>
                <w:sz w:val="16"/>
              </w:rPr>
              <w:t xml:space="preserve"> </w:t>
            </w:r>
            <w:r>
              <w:rPr>
                <w:rFonts w:ascii="Arial" w:hAnsi="Arial"/>
                <w:color w:val="000000"/>
                <w:sz w:val="16"/>
                <w:u w:val="single"/>
              </w:rPr>
              <w:t>agreed to be provided by Tenant as part of Tenants Interior fit-out after lease execution.</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right"/>
              <w:rPr/>
            </w:pPr>
            <w:r>
              <w:rPr/>
              <w:t> </w:t>
            </w:r>
          </w:p>
        </w:tc>
        <w:tc>
          <w:tcPr>
            <w:tcW w:w="660" w:type="dxa"/>
            <w:tcBorders>
              <w:bottom w:val="single" w:sz="6" w:space="0" w:color="000000"/>
            </w:tcBorders>
            <w:tcMar>
              <w:top w:w="0" w:type="dxa"/>
              <w:left w:w="0" w:type="dxa"/>
              <w:right w:w="0" w:type="dxa"/>
            </w:tcMar>
            <w:vAlign w:val="center"/>
          </w:tcPr>
          <w:p>
            <w:pPr>
              <w:pStyle w:val="TableContents"/>
              <w:bidi w:val="0"/>
              <w:spacing w:before="11" w:after="283"/>
              <w:jc w:val="left"/>
              <w:rPr/>
            </w:pPr>
            <w:r>
              <w:rPr/>
              <w:t> </w:t>
            </w:r>
          </w:p>
        </w:tc>
      </w:tr>
      <w:tr>
        <w:trPr/>
        <w:tc>
          <w:tcPr>
            <w:tcW w:w="421" w:type="dxa"/>
            <w:tcBorders>
              <w:left w:val="single" w:sz="6" w:space="0" w:color="000000"/>
              <w:bottom w:val="single" w:sz="6" w:space="0" w:color="ADA9A9"/>
            </w:tcBorders>
            <w:tcMar>
              <w:top w:w="0" w:type="dxa"/>
              <w:right w:w="0" w:type="dxa"/>
            </w:tcMar>
            <w:vAlign w:val="center"/>
          </w:tcPr>
          <w:p>
            <w:pPr>
              <w:pStyle w:val="TableContents"/>
              <w:bidi w:val="0"/>
              <w:spacing w:before="0" w:after="283"/>
              <w:jc w:val="center"/>
              <w:rPr/>
            </w:pPr>
            <w:r>
              <w:rPr/>
              <w:t> </w:t>
            </w:r>
          </w:p>
        </w:tc>
        <w:tc>
          <w:tcPr>
            <w:tcW w:w="8128" w:type="dxa"/>
            <w:gridSpan w:val="2"/>
            <w:tcBorders>
              <w:bottom w:val="single" w:sz="6" w:space="0" w:color="ADA9A9"/>
            </w:tcBorders>
            <w:tcMar>
              <w:top w:w="0" w:type="dxa"/>
              <w:left w:w="0" w:type="dxa"/>
              <w:right w:w="0" w:type="dxa"/>
            </w:tcMar>
            <w:vAlign w:val="center"/>
          </w:tcPr>
          <w:p>
            <w:pPr>
              <w:pStyle w:val="TableContents"/>
              <w:bidi w:val="0"/>
              <w:spacing w:before="172" w:after="283"/>
              <w:jc w:val="left"/>
              <w:rPr>
                <w:rFonts w:ascii="Arial" w:hAnsi="Arial"/>
                <w:color w:val="000000"/>
                <w:sz w:val="16"/>
                <w:u w:val="single"/>
              </w:rPr>
            </w:pPr>
            <w:r>
              <w:rPr>
                <w:rFonts w:ascii="Arial" w:hAnsi="Arial"/>
                <w:color w:val="000000"/>
                <w:sz w:val="16"/>
                <w:u w:val="single"/>
              </w:rPr>
              <w:t>Window treatment - estimate</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160" w:after="80"/>
              <w:jc w:val="right"/>
              <w:rPr>
                <w:rFonts w:ascii="Arial" w:hAnsi="Arial"/>
                <w:color w:val="000000"/>
                <w:sz w:val="15"/>
              </w:rPr>
            </w:pPr>
            <w:r>
              <w:rPr>
                <w:rFonts w:ascii="Arial" w:hAnsi="Arial"/>
                <w:color w:val="000000"/>
                <w:sz w:val="15"/>
              </w:rPr>
              <w:t>($84,750.00)</w:t>
            </w:r>
          </w:p>
        </w:tc>
        <w:tc>
          <w:tcPr>
            <w:tcW w:w="660"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8549" w:type="dxa"/>
            <w:gridSpan w:val="3"/>
            <w:tcBorders>
              <w:left w:val="single" w:sz="6" w:space="0" w:color="000000"/>
              <w:bottom w:val="single" w:sz="6" w:space="0" w:color="ADA9A9"/>
            </w:tcBorders>
            <w:tcMar>
              <w:top w:w="0" w:type="dxa"/>
              <w:right w:w="0" w:type="dxa"/>
            </w:tcMar>
            <w:vAlign w:val="center"/>
          </w:tcPr>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160" w:after="80"/>
              <w:ind w:left="0" w:right="6" w:hanging="0"/>
              <w:jc w:val="right"/>
              <w:rPr/>
            </w:pPr>
            <w:r>
              <w:rPr/>
              <w:t> </w:t>
            </w:r>
          </w:p>
        </w:tc>
        <w:tc>
          <w:tcPr>
            <w:tcW w:w="660" w:type="dxa"/>
            <w:tcBorders>
              <w:bottom w:val="single" w:sz="6" w:space="0" w:color="000000"/>
            </w:tcBorders>
            <w:tcMar>
              <w:top w:w="0" w:type="dxa"/>
              <w:left w:w="0" w:type="dxa"/>
              <w:right w:w="0" w:type="dxa"/>
            </w:tcMar>
            <w:vAlign w:val="center"/>
          </w:tcPr>
          <w:p>
            <w:pPr>
              <w:pStyle w:val="TableContents"/>
              <w:bidi w:val="0"/>
              <w:spacing w:before="80" w:after="60"/>
              <w:jc w:val="left"/>
              <w:rPr/>
            </w:pPr>
            <w:r>
              <w:rPr/>
              <w:t> </w:t>
            </w:r>
          </w:p>
        </w:tc>
      </w:tr>
      <w:tr>
        <w:trPr/>
        <w:tc>
          <w:tcPr>
            <w:tcW w:w="854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4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4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49"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660"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549" w:type="dxa"/>
            <w:gridSpan w:val="3"/>
            <w:tcBorders>
              <w:left w:val="single" w:sz="6" w:space="0" w:color="000000"/>
              <w:bottom w:val="single" w:sz="6" w:space="0" w:color="000000"/>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660" w:type="dxa"/>
            <w:vMerge w:val="restart"/>
            <w:tcBorders>
              <w:bottom w:val="single" w:sz="6" w:space="0" w:color="000000"/>
            </w:tcBorders>
            <w:tcMar>
              <w:top w:w="0" w:type="dxa"/>
              <w:left w:w="0" w:type="dxa"/>
              <w:right w:w="0" w:type="dxa"/>
            </w:tcMar>
            <w:vAlign w:val="center"/>
          </w:tcPr>
          <w:p>
            <w:pPr>
              <w:pStyle w:val="TableContents"/>
              <w:bidi w:val="0"/>
              <w:spacing w:before="0" w:after="283"/>
              <w:jc w:val="center"/>
              <w:rPr>
                <w:rFonts w:ascii="Arial" w:hAnsi="Arial"/>
                <w:color w:val="0077D4"/>
                <w:sz w:val="20"/>
              </w:rPr>
            </w:pPr>
            <w:r>
              <w:rPr>
                <w:rFonts w:ascii="Arial" w:hAnsi="Arial"/>
                <w:color w:val="0077D4"/>
                <w:sz w:val="20"/>
              </w:rPr>
              <w:t>OK MC</w:t>
            </w:r>
          </w:p>
        </w:tc>
      </w:tr>
      <w:tr>
        <w:trPr/>
        <w:tc>
          <w:tcPr>
            <w:tcW w:w="1760" w:type="dxa"/>
            <w:gridSpan w:val="2"/>
            <w:tcBorders>
              <w:right w:val="single" w:sz="6" w:space="0" w:color="000000"/>
            </w:tcBorders>
            <w:tcMar>
              <w:top w:w="0" w:type="dxa"/>
              <w:left w:w="0" w:type="dxa"/>
              <w:bottom w:w="0" w:type="dxa"/>
            </w:tcMar>
            <w:vAlign w:val="center"/>
          </w:tcPr>
          <w:p>
            <w:pPr>
              <w:pStyle w:val="TableContents"/>
              <w:bidi w:val="0"/>
              <w:spacing w:before="0" w:after="283"/>
              <w:ind w:left="0" w:right="0" w:firstLine="23"/>
              <w:jc w:val="left"/>
              <w:rPr/>
            </w:pPr>
            <w:r>
              <w:rPr/>
              <w:t> </w:t>
            </w:r>
          </w:p>
        </w:tc>
        <w:tc>
          <w:tcPr>
            <w:tcW w:w="6789" w:type="dxa"/>
            <w:tcBorders>
              <w:bottom w:val="single" w:sz="6" w:space="0" w:color="000000"/>
            </w:tcBorders>
            <w:tcMar>
              <w:top w:w="0" w:type="dxa"/>
              <w:left w:w="0" w:type="dxa"/>
              <w:right w:w="0" w:type="dxa"/>
            </w:tcMar>
            <w:vAlign w:val="center"/>
          </w:tcPr>
          <w:p>
            <w:pPr>
              <w:pStyle w:val="TableContents"/>
              <w:bidi w:val="0"/>
              <w:spacing w:before="15" w:after="283"/>
              <w:ind w:left="23" w:right="0" w:firstLine="23"/>
              <w:jc w:val="left"/>
              <w:rPr>
                <w:rFonts w:ascii="Times New Roman" w:hAnsi="Times New Roman"/>
                <w:sz w:val="13"/>
              </w:rPr>
            </w:pPr>
            <w:r>
              <w:rPr>
                <w:rFonts w:ascii="Arial" w:hAnsi="Arial"/>
                <w:b/>
                <w:color w:val="000000"/>
                <w:sz w:val="13"/>
              </w:rPr>
              <w:t>TOTAL</w:t>
            </w:r>
            <w:r>
              <w:rPr>
                <w:rFonts w:ascii="Times New Roman" w:hAnsi="Times New Roman"/>
                <w:color w:val="000000"/>
                <w:sz w:val="13"/>
              </w:rPr>
              <w:t xml:space="preserve"> </w:t>
            </w:r>
            <w:r>
              <w:rPr>
                <w:rFonts w:ascii="Arial" w:hAnsi="Arial"/>
                <w:b/>
                <w:color w:val="000000"/>
                <w:sz w:val="13"/>
              </w:rPr>
              <w:t>CO#21</w:t>
            </w:r>
          </w:p>
        </w:tc>
        <w:tc>
          <w:tcPr>
            <w:tcW w:w="99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($84,750.00)</w:t>
            </w:r>
          </w:p>
        </w:tc>
        <w:tc>
          <w:tcPr>
            <w:tcW w:w="660" w:type="dxa"/>
            <w:vMerge w:val="continue"/>
            <w:tcBorders>
              <w:bottom w:val="single" w:sz="6" w:space="0" w:color="000000"/>
            </w:tcBorders>
            <w:tcMar>
              <w:top w:w="0" w:type="dxa"/>
              <w:left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CarGurus acknowledges and agrees that (a) this change order constitutes a Tenant Change Order subject to and in accordance with the terms of the Lease; and (b) (i) it will pay to Landlord, as Additional Rent under the Lease, the actual amount of the increased costs and expenses resulting from this Tenant Change Order, and (ii) any and all delays resulting from the work contemplated by or resulting from this Tenant Change Order shall constitute a Tenant Delay under the Lease. Capitalized terms used but not defined herein shall have the meaning ascribed to them in the Lease. Please countersign this change order in the space below to confirm your agreement.</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5"/>
        </w:rPr>
      </w:pPr>
      <w:r>
        <w:rPr>
          <w:rFonts w:ascii="Arial" w:hAnsi="Arial"/>
          <w:color w:val="000000"/>
          <w:sz w:val="15"/>
        </w:rPr>
        <w:t>Sincerely,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5"/>
        </w:rPr>
        <w:t>P-12</w:t>
      </w:r>
      <w:r>
        <w:rPr>
          <w:rFonts w:ascii="Times New Roman" w:hAnsi="Times New Roman"/>
          <w:color w:val="000000"/>
          <w:sz w:val="20"/>
        </w:rPr>
        <w:t xml:space="preserve"> </w:t>
      </w:r>
      <w:r>
        <w:rPr>
          <w:rFonts w:ascii="Arial" w:hAnsi="Arial"/>
          <w:b/>
          <w:color w:val="000000"/>
          <w:sz w:val="15"/>
        </w:rPr>
        <w:t>Property</w:t>
      </w:r>
      <w:r>
        <w:rPr>
          <w:rFonts w:ascii="Times New Roman" w:hAnsi="Times New Roman"/>
          <w:color w:val="000000"/>
          <w:sz w:val="20"/>
        </w:rPr>
        <w:t xml:space="preserve"> </w:t>
      </w:r>
      <w:r>
        <w:rPr>
          <w:rFonts w:ascii="Arial" w:hAnsi="Arial"/>
          <w:b/>
          <w:color w:val="000000"/>
          <w:sz w:val="15"/>
        </w:rPr>
        <w:t>LLC</w:t>
      </w:r>
    </w:p>
    <w:p>
      <w:pPr>
        <w:pStyle w:val="TextBody"/>
        <w:bidi w:val="0"/>
        <w:jc w:val="left"/>
        <w:rPr/>
      </w:pPr>
      <w:r>
        <w:rPr/>
        <w:t> </w:t>
      </w:r>
    </w:p>
    <w:tbl>
      <w:tblPr>
        <w:tblW w:w="2209" w:type="dxa"/>
        <w:jc w:val="left"/>
        <w:tblInd w:w="0" w:type="dxa"/>
        <w:tblLayout w:type="fixed"/>
        <w:tblCellMar>
          <w:top w:w="28" w:type="dxa"/>
          <w:left w:w="28" w:type="dxa"/>
          <w:bottom w:w="28" w:type="dxa"/>
          <w:right w:w="28" w:type="dxa"/>
        </w:tblCellMar>
      </w:tblPr>
      <w:tblGrid>
        <w:gridCol w:w="1329"/>
        <w:gridCol w:w="880"/>
      </w:tblGrid>
      <w:tr>
        <w:trPr/>
        <w:tc>
          <w:tcPr>
            <w:tcW w:w="132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ind w:left="0" w:right="0" w:firstLine="19"/>
              <w:jc w:val="left"/>
              <w:rPr>
                <w:sz w:val="4"/>
                <w:szCs w:val="4"/>
              </w:rPr>
            </w:pPr>
            <w:r>
              <w:rPr>
                <w:sz w:val="4"/>
                <w:szCs w:val="4"/>
              </w:rPr>
            </w:r>
          </w:p>
        </w:tc>
      </w:tr>
      <w:tr>
        <w:trPr/>
        <w:tc>
          <w:tcPr>
            <w:tcW w:w="2209" w:type="dxa"/>
            <w:gridSpan w:val="2"/>
            <w:tcBorders>
              <w:top w:val="single" w:sz="4" w:space="0" w:color="000000"/>
              <w:left w:val="single" w:sz="4" w:space="0" w:color="000000"/>
              <w:bottom w:val="single" w:sz="4" w:space="0" w:color="000000"/>
              <w:right w:val="single" w:sz="4" w:space="0" w:color="000000"/>
            </w:tcBorders>
            <w:shd w:fill="D9E1F2" w:val="clear"/>
            <w:vAlign w:val="center"/>
          </w:tcPr>
          <w:p>
            <w:pPr>
              <w:pStyle w:val="TableContents"/>
              <w:bidi w:val="0"/>
              <w:spacing w:before="17" w:after="283"/>
              <w:ind w:left="19" w:right="0" w:firstLine="19"/>
              <w:jc w:val="left"/>
              <w:rPr>
                <w:rFonts w:ascii="Times New Roman" w:hAnsi="Times New Roman"/>
                <w:sz w:val="13"/>
              </w:rPr>
            </w:pPr>
            <w:r>
              <w:rPr>
                <w:rFonts w:ascii="Arial" w:hAnsi="Arial"/>
                <w:b/>
                <w:color w:val="000000"/>
                <w:sz w:val="13"/>
              </w:rPr>
              <w:t>Acknowledged</w:t>
            </w:r>
            <w:r>
              <w:rPr>
                <w:rFonts w:ascii="Times New Roman" w:hAnsi="Times New Roman"/>
                <w:color w:val="000000"/>
                <w:sz w:val="13"/>
              </w:rPr>
              <w:t xml:space="preserve"> </w:t>
            </w:r>
            <w:r>
              <w:rPr>
                <w:rFonts w:ascii="Arial" w:hAnsi="Arial"/>
                <w:b/>
                <w:color w:val="000000"/>
                <w:sz w:val="13"/>
              </w:rPr>
              <w:t>and</w:t>
            </w:r>
            <w:r>
              <w:rPr>
                <w:rFonts w:ascii="Times New Roman" w:hAnsi="Times New Roman"/>
                <w:color w:val="000000"/>
                <w:sz w:val="13"/>
              </w:rPr>
              <w:t xml:space="preserve"> </w:t>
            </w:r>
            <w:r>
              <w:rPr>
                <w:rFonts w:ascii="Arial" w:hAnsi="Arial"/>
                <w:b/>
                <w:color w:val="000000"/>
                <w:sz w:val="13"/>
              </w:rPr>
              <w:t>Agreed</w:t>
            </w:r>
            <w:r>
              <w:rPr>
                <w:rFonts w:ascii="Times New Roman" w:hAnsi="Times New Roman"/>
                <w:color w:val="000000"/>
                <w:sz w:val="13"/>
              </w:rPr>
              <w:t xml:space="preserve"> </w:t>
            </w:r>
            <w:r>
              <w:rPr>
                <w:rFonts w:ascii="Arial" w:hAnsi="Arial"/>
                <w:b/>
                <w:color w:val="000000"/>
                <w:sz w:val="13"/>
              </w:rPr>
              <w:t>to</w:t>
            </w:r>
            <w:r>
              <w:rPr>
                <w:rFonts w:ascii="Times New Roman" w:hAnsi="Times New Roman"/>
                <w:color w:val="000000"/>
                <w:sz w:val="13"/>
              </w:rPr>
              <w:t xml:space="preserve"> </w:t>
            </w:r>
            <w:r>
              <w:rPr>
                <w:rFonts w:ascii="Arial" w:hAnsi="Arial"/>
                <w:b/>
                <w:color w:val="000000"/>
                <w:sz w:val="13"/>
              </w:rPr>
              <w:t>by:</w:t>
            </w:r>
          </w:p>
        </w:tc>
      </w:tr>
      <w:tr>
        <w:trPr/>
        <w:tc>
          <w:tcPr>
            <w:tcW w:w="2209" w:type="dxa"/>
            <w:gridSpan w:val="2"/>
            <w:tcBorders/>
            <w:tcMar>
              <w:top w:w="0" w:type="dxa"/>
              <w:left w:w="0" w:type="dxa"/>
              <w:bottom w:w="0" w:type="dxa"/>
              <w:right w:w="0" w:type="dxa"/>
            </w:tcMar>
            <w:vAlign w:val="center"/>
          </w:tcPr>
          <w:p>
            <w:pPr>
              <w:pStyle w:val="TableContents"/>
              <w:bidi w:val="0"/>
              <w:spacing w:before="23" w:after="283"/>
              <w:jc w:val="left"/>
              <w:rPr>
                <w:rFonts w:ascii="Times New Roman" w:hAnsi="Times New Roman"/>
                <w:sz w:val="13"/>
              </w:rPr>
            </w:pPr>
            <w:r>
              <w:rPr>
                <w:rFonts w:ascii="Arial" w:hAnsi="Arial"/>
                <w:b/>
                <w:color w:val="000000"/>
                <w:sz w:val="13"/>
              </w:rPr>
              <w:t>CarGurus,</w:t>
            </w:r>
            <w:r>
              <w:rPr>
                <w:rFonts w:ascii="Times New Roman" w:hAnsi="Times New Roman"/>
                <w:color w:val="000000"/>
                <w:sz w:val="13"/>
              </w:rPr>
              <w:t xml:space="preserve"> </w:t>
            </w:r>
            <w:r>
              <w:rPr>
                <w:rFonts w:ascii="Arial" w:hAnsi="Arial"/>
                <w:b/>
                <w:color w:val="000000"/>
                <w:sz w:val="13"/>
              </w:rPr>
              <w:t>Inc.</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9"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x /s/ Brandon Morrill</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Signtature</w:t>
            </w:r>
          </w:p>
        </w:tc>
      </w:tr>
      <w:tr>
        <w:trPr/>
        <w:tc>
          <w:tcPr>
            <w:tcW w:w="220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29"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3"/>
              </w:rPr>
              <w:t>Brandon Morrill</w:t>
            </w:r>
          </w:p>
        </w:tc>
        <w:tc>
          <w:tcPr>
            <w:tcW w:w="88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4/12/2024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4"/>
          <w:u w:val="single"/>
        </w:rPr>
      </w:pPr>
      <w:r>
        <w:rPr>
          <w:rFonts w:ascii="Arial" w:hAnsi="Arial"/>
          <w:color w:val="000000"/>
          <w:sz w:val="24"/>
          <w:u w:val="single"/>
        </w:rPr>
        <w:t>EXHIBIT 2.1-1</w:t>
      </w:r>
    </w:p>
    <w:p>
      <w:pPr>
        <w:pStyle w:val="TextBody"/>
        <w:bidi w:val="0"/>
        <w:spacing w:before="200" w:after="283"/>
        <w:jc w:val="center"/>
        <w:rPr>
          <w:rFonts w:ascii="Arial" w:hAnsi="Arial"/>
          <w:color w:val="000000"/>
          <w:sz w:val="24"/>
          <w:u w:val="single"/>
        </w:rPr>
      </w:pPr>
      <w:r>
        <w:rPr>
          <w:rFonts w:ascii="Arial" w:hAnsi="Arial"/>
          <w:color w:val="000000"/>
          <w:sz w:val="24"/>
          <w:u w:val="single"/>
        </w:rPr>
        <w:t>LANDLORD/TENANT RESPONSIBILITY MATRIX</w:t>
      </w:r>
    </w:p>
    <w:p>
      <w:pPr>
        <w:pStyle w:val="TextBody"/>
        <w:bidi w:val="0"/>
        <w:jc w:val="left"/>
        <w:rPr/>
      </w:pPr>
      <w:r>
        <w:rPr/>
        <w:t> </w:t>
      </w:r>
    </w:p>
    <w:p>
      <w:pPr>
        <w:pStyle w:val="TextBody"/>
        <w:bidi w:val="0"/>
        <w:jc w:val="center"/>
        <w:rPr/>
      </w:pPr>
      <w:r>
        <w:rPr/>
        <w:drawing>
          <wp:inline distT="0" distB="0" distL="0" distR="0">
            <wp:extent cx="6067425" cy="7429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
                    <a:stretch>
                      <a:fillRect/>
                    </a:stretch>
                  </pic:blipFill>
                  <pic:spPr bwMode="auto">
                    <a:xfrm>
                      <a:off x="0" y="0"/>
                      <a:ext cx="6067425" cy="7429500"/>
                    </a:xfrm>
                    <a:prstGeom prst="rect">
                      <a:avLst/>
                    </a:prstGeom>
                  </pic:spPr>
                </pic:pic>
              </a:graphicData>
            </a:graphic>
          </wp:inline>
        </w:drawing>
      </w:r>
      <w:r>
        <w:rPr/>
        <w:t> </w:t>
      </w:r>
    </w:p>
    <w:p>
      <w:pPr>
        <w:pStyle w:val="TextBody"/>
        <w:bidi w:val="0"/>
        <w:spacing w:before="78" w:after="283"/>
        <w:jc w:val="left"/>
        <w:rPr/>
      </w:pPr>
      <w:r>
        <w:rPr/>
        <w:t> </w:t>
      </w:r>
    </w:p>
    <w:p>
      <w:pPr>
        <w:pStyle w:val="TextBody"/>
        <w:bidi w:val="0"/>
        <w:spacing w:before="0" w:after="160"/>
        <w:jc w:val="left"/>
        <w:rPr>
          <w:rFonts w:ascii="Times New Roman" w:hAnsi="Times New Roman"/>
          <w:sz w:val="20"/>
        </w:rPr>
      </w:pPr>
      <w:r>
        <w:rPr>
          <w:rFonts w:ascii="Times New Roman" w:hAnsi="Times New Roman"/>
          <w:color w:val="FFFFFF"/>
          <w:sz w:val="2"/>
        </w:rPr>
        <w:t>1001 Boyiston Office Core/Shell Scope LOI "Exhibit B" Revised 11-7-19 Scope Item Responsibility Tenant Landlord As Comments Existing SITEWORK Utilities x Pavements sidewalks and roadways x Landscaping x STRUCTURE Floor to Floor Height 13-6" typical on office floors x Fireproofing x Design floor live load 100 psf .xTenant to reinforce floor locally if specialty program exceeds 100 PSF x Framed openings for additional Tenant shafts not part of base building x Provide client specified openings for communicating stair x By Tenant MISCELLANEOUS METALS Mise metals for base building elements (canopies elevators railings etc.) x Specialty misc metals/structural work for Tenant rooftop equipment x Misc metals/structural steel for base building rooftop equipment x Concrete pads and structural modifications related to Tenant fit out Egress stairs with concrete filled pan. Painted steel guardrais and handrais x Steel frame and glass at esterior belconies and amenity deck as shown on the contract documents x BUILDING ENVELOPE Exterior Walls Aluminum and glass curtain wall x Aluminum and glass exterior doors of similar construction to exterior glaring system x Mechanical penthouse aluminum panel system x Penthouse louvers as required for base building common equipment x Penthouse louvers as required for specialty Tenant equipment x South side window treatment for significant sun penetration x Office Tower Roof. Per parapets, and accessories Walkway pads to base building rooftop equipment and perimeter as shown on u x drawings Pedestal pavers and roof protection pads at office roof as shown on LL drawings x Roof penetrations and walkway pads for Tenant rooftop equipment OFFICE COMMON AREA Main Lobby Finishes Lobby floor finishes x Tenant involvement with finishes Wall finishes x Tenant involvement with finishes Ceiling finish x Tenant involvement with finishes Upper Floor Elevator Lobbies Lobby floor finishes x Landlord to credit cost for standard C/S finishes Tenant to provide finishes in elewator lobby. Wall finishes x see above note Ceiling finish x see above note Lighting x see above nobe</w:t>
      </w:r>
      <w:r>
        <w:rPr>
          <w:rFonts w:ascii="Times New Roman" w:hAnsi="Times New Roman"/>
          <w:color w:val="FFFFFF"/>
          <w:sz w:val="20"/>
        </w:rPr>
        <w:t xml:space="preserve"> </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Exhibit 2.1-1, Page 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857875" cy="776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1"/>
                    <a:stretch>
                      <a:fillRect/>
                    </a:stretch>
                  </pic:blipFill>
                  <pic:spPr bwMode="auto">
                    <a:xfrm>
                      <a:off x="0" y="0"/>
                      <a:ext cx="5857875" cy="7762875"/>
                    </a:xfrm>
                    <a:prstGeom prst="rect">
                      <a:avLst/>
                    </a:prstGeom>
                  </pic:spPr>
                </pic:pic>
              </a:graphicData>
            </a:graphic>
          </wp:inline>
        </w:drawing>
      </w:r>
      <w:r>
        <w:rPr/>
        <w:t>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FFFFFF"/>
          <w:sz w:val="2"/>
        </w:rPr>
        <w:t>1001 Boyiston Office Core/Shell Scope LOI "Exhibit B" - Revised 11-7-19 Scope Item Responsibility Tenant Landlord As Comments Existing Floor Common Area Base building mechanical/ellectric/tel-data rooms flooring wall base, painted GBW X walls Taped and sanded GWB at Tenant side of core and mechanical rooms X Type x GWB at interior face of exterior walls GWB at column enclosures GWB by landlord at all column location that 88 infrastructure occurs li.e.: rain leaders) Landlord to credit cost for gwlb walls at columns with BB infrastructure Tenant to provide as part of Tenant Interiors work Base building door frames, doors, and hardware x Shaft enclosures for Tenant provided systems within building core x Partitions. ceilings, floorings, painting. finishes, doors, millwork and all build-out x within Tenant area Base building toilet rooms Tile or polished concrete floors, partial tile coverage on x Meet 100 SF per person walls, finished ceiling, ADA bathroom accessories, fixtures hand dryers, and toilet partitions (with privacy panels) Tenant kitchens, and Tenant it-out toilet rooms including plumbing Horizontal window blinds and/or window treatments (See u standard shade color, and mounting detail) Exitystairs Finishes include painted strigger risers and railings spaled.congrete floor and treads vinyl base at landings, painted GWB walls (except at concrete care) no ceilings Furnish and install of a larger, dressed up stair to act as a communication stair x Landlord to provide paint and flooring at one (1) exit stair at tenant floors to act as . communicating stair. Vestibule at freight elevator/mechanical spaces including electrified door lack to x receive card reader ELEVATORS Garage passenger elevator serving garage levels x Office tower passenger elevators x Building common fire extinguishers x Tenant fire extinguishers x Tenant equipment Patio heat to extend season usage x Heat Lamps to be provided where feasible South Terrace to be reviewed for alternative methods Snow/ice melting decking on patio x * Patio Exterior lighting pavers, convenience power outlets No PLUMBING Underground utility piping |water, waste, gas) to main service points and base x building equipment Domestic water to base building fixtures x HW generation for base building toilet rooms x 2" domestic cold water stubbed into Tenant area and capped for Tenant use x Domestic water distribution within Tenant premises Waste and vent service for base building areas x</w:t>
      </w:r>
      <w:r>
        <w:rPr>
          <w:rFonts w:ascii="Times New Roman" w:hAnsi="Times New Roman"/>
          <w:color w:val="FFFFFF"/>
          <w:sz w:val="20"/>
        </w:rPr>
        <w:t xml:space="preserve"> </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Exhibit 2.1-1, Page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7"/>
        </w:rPr>
      </w:pPr>
      <w:r>
        <w:rPr>
          <w:rFonts w:ascii="Arial" w:hAnsi="Arial"/>
          <w:color w:val="000000"/>
          <w:sz w:val="27"/>
        </w:rPr>
        <w:t>Parcel 12</w:t>
      </w:r>
    </w:p>
    <w:p>
      <w:pPr>
        <w:pStyle w:val="TextBody"/>
        <w:bidi w:val="0"/>
        <w:spacing w:before="16" w:after="283"/>
        <w:jc w:val="center"/>
        <w:rPr>
          <w:rFonts w:ascii="Arial" w:hAnsi="Arial"/>
          <w:color w:val="000000"/>
          <w:sz w:val="17"/>
        </w:rPr>
      </w:pPr>
      <w:r>
        <w:rPr>
          <w:rFonts w:ascii="Arial" w:hAnsi="Arial"/>
          <w:color w:val="000000"/>
          <w:sz w:val="17"/>
        </w:rPr>
        <w:t>Boston, MA</w:t>
      </w:r>
    </w:p>
    <w:p>
      <w:pPr>
        <w:pStyle w:val="TextBody"/>
        <w:bidi w:val="0"/>
        <w:jc w:val="left"/>
        <w:rPr/>
      </w:pPr>
      <w:r>
        <w:rPr/>
        <w:t> </w:t>
      </w:r>
    </w:p>
    <w:tbl>
      <w:tblPr>
        <w:tblW w:w="3750" w:type="dxa"/>
        <w:jc w:val="left"/>
        <w:tblInd w:w="0" w:type="dxa"/>
        <w:tblLayout w:type="fixed"/>
        <w:tblCellMar>
          <w:top w:w="28" w:type="dxa"/>
          <w:left w:w="28" w:type="dxa"/>
          <w:bottom w:w="28" w:type="dxa"/>
          <w:right w:w="28" w:type="dxa"/>
        </w:tblCellMar>
      </w:tblPr>
      <w:tblGrid>
        <w:gridCol w:w="1390"/>
        <w:gridCol w:w="2360"/>
      </w:tblGrid>
      <w:tr>
        <w:trPr/>
        <w:tc>
          <w:tcPr>
            <w:tcW w:w="139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3750"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0" w:after="283"/>
              <w:jc w:val="center"/>
              <w:rPr>
                <w:rFonts w:ascii="Arial" w:hAnsi="Arial"/>
                <w:color w:val="000000"/>
                <w:sz w:val="22"/>
              </w:rPr>
            </w:pPr>
            <w:r>
              <w:rPr>
                <w:rFonts w:ascii="Arial" w:hAnsi="Arial"/>
                <w:color w:val="000000"/>
                <w:sz w:val="22"/>
              </w:rPr>
              <w:t>CarGurus Tenant Change Order #22</w:t>
            </w:r>
          </w:p>
        </w:tc>
      </w:tr>
      <w:tr>
        <w:trPr/>
        <w:tc>
          <w:tcPr>
            <w:tcW w:w="139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6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39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Date:</w:t>
            </w:r>
          </w:p>
        </w:tc>
        <w:tc>
          <w:tcPr>
            <w:tcW w:w="236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4/18/2024</w:t>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CarGurus, Inc.</w:t>
      </w:r>
    </w:p>
    <w:p>
      <w:pPr>
        <w:pStyle w:val="TextBody"/>
        <w:bidi w:val="0"/>
        <w:jc w:val="left"/>
        <w:rPr>
          <w:rFonts w:ascii="Arial" w:hAnsi="Arial"/>
          <w:color w:val="000000"/>
          <w:sz w:val="13"/>
        </w:rPr>
      </w:pPr>
      <w:r>
        <w:rPr>
          <w:rFonts w:ascii="Arial" w:hAnsi="Arial"/>
          <w:color w:val="000000"/>
          <w:sz w:val="13"/>
        </w:rPr>
        <w:t>2 Canal Park</w:t>
      </w:r>
    </w:p>
    <w:p>
      <w:pPr>
        <w:pStyle w:val="TextBody"/>
        <w:bidi w:val="0"/>
        <w:jc w:val="left"/>
        <w:rPr>
          <w:rFonts w:ascii="Arial" w:hAnsi="Arial"/>
          <w:color w:val="000000"/>
          <w:sz w:val="13"/>
        </w:rPr>
      </w:pPr>
      <w:r>
        <w:rPr>
          <w:rFonts w:ascii="Arial" w:hAnsi="Arial"/>
          <w:color w:val="000000"/>
          <w:sz w:val="13"/>
        </w:rPr>
        <w:t>Cambridge, MA 02141</w:t>
      </w:r>
    </w:p>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Mr. Brandon Morrill:</w:t>
      </w:r>
    </w:p>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RE: Change Order - Lease by and between Cargurus, Inc. ("CarGurus") and P-12 Property LLC ("Landlord"), dated December 19, 2019, as amended (the “Lease”)</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Pursuant to the Lease, CarGurus has requested modifications to the Base Building Plans and Specifications to accomodate Tenant's design of Tenant's Work, which request requires this change order to such plans and specifications. The work to be performed as a result of this change order is summarized as follows and described in more detail on Exhibit A attached hereto:</w:t>
      </w:r>
    </w:p>
    <w:p>
      <w:pPr>
        <w:pStyle w:val="TextBody"/>
        <w:bidi w:val="0"/>
        <w:jc w:val="left"/>
        <w:rPr/>
      </w:pPr>
      <w:r>
        <w:rPr/>
        <w:t> </w:t>
      </w:r>
    </w:p>
    <w:tbl>
      <w:tblPr>
        <w:tblW w:w="7089" w:type="dxa"/>
        <w:jc w:val="left"/>
        <w:tblInd w:w="0" w:type="dxa"/>
        <w:tblLayout w:type="fixed"/>
        <w:tblCellMar>
          <w:top w:w="28" w:type="dxa"/>
          <w:left w:w="28" w:type="dxa"/>
          <w:bottom w:w="28" w:type="dxa"/>
          <w:right w:w="28" w:type="dxa"/>
        </w:tblCellMar>
      </w:tblPr>
      <w:tblGrid>
        <w:gridCol w:w="421"/>
        <w:gridCol w:w="798"/>
        <w:gridCol w:w="4047"/>
        <w:gridCol w:w="982"/>
        <w:gridCol w:w="841"/>
      </w:tblGrid>
      <w:tr>
        <w:trPr/>
        <w:tc>
          <w:tcPr>
            <w:tcW w:w="42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04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21" w:type="dxa"/>
            <w:tcBorders>
              <w:top w:val="single" w:sz="6" w:space="0" w:color="000000"/>
              <w:left w:val="single" w:sz="6" w:space="0" w:color="000000"/>
              <w:bottom w:val="single" w:sz="6" w:space="0" w:color="000000"/>
            </w:tcBorders>
            <w:shd w:fill="D0CECE" w:val="clear"/>
            <w:tcMar>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Item</w:t>
            </w:r>
          </w:p>
        </w:tc>
        <w:tc>
          <w:tcPr>
            <w:tcW w:w="4845" w:type="dxa"/>
            <w:gridSpan w:val="2"/>
            <w:tcBorders>
              <w:top w:val="single" w:sz="6" w:space="0" w:color="000000"/>
              <w:bottom w:val="single" w:sz="6" w:space="0" w:color="000000"/>
            </w:tcBorders>
            <w:shd w:fill="D0CECE" w:val="clear"/>
            <w:tcMar>
              <w:left w:w="0" w:type="dxa"/>
              <w:right w:w="0" w:type="dxa"/>
            </w:tcMar>
            <w:vAlign w:val="center"/>
          </w:tcPr>
          <w:p>
            <w:pPr>
              <w:pStyle w:val="TableContents"/>
              <w:bidi w:val="0"/>
              <w:spacing w:before="0" w:after="283"/>
              <w:ind w:left="0" w:right="0" w:firstLine="336"/>
              <w:jc w:val="left"/>
              <w:rPr>
                <w:rFonts w:ascii="Arial" w:hAnsi="Arial"/>
                <w:color w:val="000000"/>
                <w:sz w:val="15"/>
              </w:rPr>
            </w:pPr>
            <w:r>
              <w:rPr>
                <w:rFonts w:ascii="Arial" w:hAnsi="Arial"/>
                <w:color w:val="000000"/>
                <w:sz w:val="15"/>
              </w:rPr>
              <w:t>Description</w:t>
            </w:r>
          </w:p>
        </w:tc>
        <w:tc>
          <w:tcPr>
            <w:tcW w:w="982" w:type="dxa"/>
            <w:tcBorders>
              <w:top w:val="single" w:sz="6" w:space="0" w:color="000000"/>
              <w:bottom w:val="single" w:sz="6" w:space="0" w:color="000000"/>
              <w:right w:val="single" w:sz="6" w:space="0" w:color="000000"/>
            </w:tcBorders>
            <w:shd w:fill="D0CECE" w:val="clear"/>
            <w:tcMar>
              <w:left w:w="0" w:type="dxa"/>
            </w:tcMar>
            <w:vAlign w:val="center"/>
          </w:tcPr>
          <w:p>
            <w:pPr>
              <w:pStyle w:val="TableContents"/>
              <w:bidi w:val="0"/>
              <w:spacing w:before="0" w:after="283"/>
              <w:ind w:left="336" w:right="0" w:firstLine="336"/>
              <w:jc w:val="left"/>
              <w:rPr>
                <w:rFonts w:ascii="Arial" w:hAnsi="Arial"/>
                <w:color w:val="000000"/>
                <w:sz w:val="15"/>
              </w:rPr>
            </w:pPr>
            <w:r>
              <w:rPr>
                <w:rFonts w:ascii="Arial" w:hAnsi="Arial"/>
                <w:color w:val="000000"/>
                <w:sz w:val="15"/>
              </w:rPr>
              <w:t>Amount</w:t>
            </w:r>
          </w:p>
        </w:tc>
        <w:tc>
          <w:tcPr>
            <w:tcW w:w="841" w:type="dxa"/>
            <w:tcBorders>
              <w:top w:val="single" w:sz="6" w:space="0" w:color="000000"/>
            </w:tcBorders>
            <w:tcMar>
              <w:left w:w="0" w:type="dxa"/>
              <w:bottom w:w="0" w:type="dxa"/>
              <w:right w:w="0" w:type="dxa"/>
            </w:tcMar>
            <w:vAlign w:val="center"/>
          </w:tcPr>
          <w:p>
            <w:pPr>
              <w:pStyle w:val="TableContents"/>
              <w:bidi w:val="0"/>
              <w:spacing w:before="0" w:after="283"/>
              <w:ind w:left="336" w:right="0" w:hanging="0"/>
              <w:jc w:val="left"/>
              <w:rPr/>
            </w:pPr>
            <w:r>
              <w:rPr/>
              <w:t> </w:t>
            </w:r>
          </w:p>
        </w:tc>
      </w:tr>
      <w:tr>
        <w:trPr/>
        <w:tc>
          <w:tcPr>
            <w:tcW w:w="421" w:type="dxa"/>
            <w:tcBorders>
              <w:left w:val="single" w:sz="6" w:space="0" w:color="000000"/>
              <w:bottom w:val="single" w:sz="6" w:space="0" w:color="ADA9A9"/>
            </w:tcBorders>
            <w:tcMar>
              <w:top w:w="0" w:type="dxa"/>
              <w:right w:w="0" w:type="dxa"/>
            </w:tcMar>
            <w:vAlign w:val="center"/>
          </w:tcPr>
          <w:p>
            <w:pPr>
              <w:pStyle w:val="TableContents"/>
              <w:bidi w:val="0"/>
              <w:spacing w:before="40" w:after="40"/>
              <w:jc w:val="center"/>
              <w:rPr>
                <w:rFonts w:ascii="Arial" w:hAnsi="Arial"/>
                <w:color w:val="000000"/>
                <w:sz w:val="15"/>
              </w:rPr>
            </w:pPr>
            <w:r>
              <w:rPr>
                <w:rFonts w:ascii="Arial" w:hAnsi="Arial"/>
                <w:color w:val="000000"/>
                <w:sz w:val="15"/>
              </w:rPr>
              <w:t>1</w:t>
            </w:r>
          </w:p>
        </w:tc>
        <w:tc>
          <w:tcPr>
            <w:tcW w:w="4845" w:type="dxa"/>
            <w:gridSpan w:val="2"/>
            <w:tcBorders>
              <w:bottom w:val="single" w:sz="6" w:space="0" w:color="ADA9A9"/>
            </w:tcBorders>
            <w:tcMar>
              <w:top w:w="0" w:type="dxa"/>
              <w:left w:w="0" w:type="dxa"/>
              <w:right w:w="0" w:type="dxa"/>
            </w:tcMar>
            <w:vAlign w:val="center"/>
          </w:tcPr>
          <w:p>
            <w:pPr>
              <w:pStyle w:val="TableContents"/>
              <w:bidi w:val="0"/>
              <w:spacing w:before="40" w:after="40"/>
              <w:jc w:val="left"/>
              <w:rPr>
                <w:rFonts w:ascii="Arial" w:hAnsi="Arial"/>
                <w:color w:val="000000"/>
                <w:sz w:val="16"/>
                <w:u w:val="single"/>
              </w:rPr>
            </w:pPr>
            <w:r>
              <w:rPr>
                <w:rFonts w:ascii="Arial" w:hAnsi="Arial"/>
                <w:color w:val="000000"/>
                <w:sz w:val="16"/>
                <w:u w:val="single"/>
              </w:rPr>
              <w:t>Landlord Credit for Level 21 South terrace patio heater installation</w:t>
            </w:r>
          </w:p>
        </w:tc>
        <w:tc>
          <w:tcPr>
            <w:tcW w:w="982" w:type="dxa"/>
            <w:tcBorders>
              <w:bottom w:val="single" w:sz="6" w:space="0" w:color="ADA9A9"/>
              <w:right w:val="single" w:sz="6" w:space="0" w:color="000000"/>
            </w:tcBorders>
            <w:tcMar>
              <w:top w:w="0" w:type="dxa"/>
              <w:left w:w="0" w:type="dxa"/>
            </w:tcMar>
            <w:vAlign w:val="center"/>
          </w:tcPr>
          <w:p>
            <w:pPr>
              <w:pStyle w:val="TableContents"/>
              <w:bidi w:val="0"/>
              <w:spacing w:before="40" w:after="40"/>
              <w:ind w:left="0" w:right="72" w:hanging="0"/>
              <w:jc w:val="right"/>
              <w:rPr>
                <w:rFonts w:ascii="Arial" w:hAnsi="Arial"/>
                <w:color w:val="000000"/>
                <w:sz w:val="15"/>
              </w:rPr>
            </w:pPr>
            <w:r>
              <w:rPr>
                <w:rFonts w:ascii="Arial" w:hAnsi="Arial"/>
                <w:color w:val="000000"/>
                <w:sz w:val="15"/>
              </w:rPr>
              <w:t>($45,104)</w:t>
            </w:r>
          </w:p>
        </w:tc>
        <w:tc>
          <w:tcPr>
            <w:tcW w:w="841" w:type="dxa"/>
            <w:tcBorders>
              <w:bottom w:val="single" w:sz="6" w:space="0" w:color="000000"/>
            </w:tcBorders>
            <w:tcMar>
              <w:top w:w="0" w:type="dxa"/>
              <w:left w:w="0" w:type="dxa"/>
              <w:right w:w="0" w:type="dxa"/>
            </w:tcMar>
            <w:vAlign w:val="center"/>
          </w:tcPr>
          <w:p>
            <w:pPr>
              <w:pStyle w:val="TableContents"/>
              <w:bidi w:val="0"/>
              <w:spacing w:before="40" w:after="40"/>
              <w:jc w:val="center"/>
              <w:rPr>
                <w:rFonts w:ascii="Arial" w:hAnsi="Arial"/>
                <w:color w:val="0077D4"/>
                <w:sz w:val="21"/>
              </w:rPr>
            </w:pPr>
            <w:r>
              <w:rPr>
                <w:rFonts w:ascii="Arial" w:hAnsi="Arial"/>
                <w:color w:val="0077D4"/>
                <w:sz w:val="21"/>
              </w:rPr>
              <w:t>OK MC</w:t>
            </w:r>
          </w:p>
        </w:tc>
      </w:tr>
      <w:tr>
        <w:trPr/>
        <w:tc>
          <w:tcPr>
            <w:tcW w:w="526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8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8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8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8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8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6" w:type="dxa"/>
            <w:gridSpan w:val="3"/>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8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66" w:type="dxa"/>
            <w:gridSpan w:val="3"/>
            <w:tcBorders>
              <w:left w:val="single" w:sz="6" w:space="0" w:color="000000"/>
              <w:bottom w:val="single" w:sz="6" w:space="0" w:color="000000"/>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8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vMerge w:val="restart"/>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219" w:type="dxa"/>
            <w:gridSpan w:val="2"/>
            <w:tcBorders>
              <w:right w:val="single" w:sz="6" w:space="0" w:color="000000"/>
            </w:tcBorders>
            <w:tcMar>
              <w:top w:w="0" w:type="dxa"/>
              <w:left w:w="0" w:type="dxa"/>
              <w:bottom w:w="0" w:type="dxa"/>
            </w:tcMar>
            <w:vAlign w:val="center"/>
          </w:tcPr>
          <w:p>
            <w:pPr>
              <w:pStyle w:val="TableContents"/>
              <w:bidi w:val="0"/>
              <w:spacing w:before="0" w:after="283"/>
              <w:ind w:left="0" w:right="0" w:firstLine="23"/>
              <w:jc w:val="left"/>
              <w:rPr/>
            </w:pPr>
            <w:r>
              <w:rPr/>
              <w:t> </w:t>
            </w:r>
          </w:p>
        </w:tc>
        <w:tc>
          <w:tcPr>
            <w:tcW w:w="4047" w:type="dxa"/>
            <w:tcBorders>
              <w:bottom w:val="single" w:sz="6" w:space="0" w:color="000000"/>
            </w:tcBorders>
            <w:tcMar>
              <w:top w:w="0" w:type="dxa"/>
              <w:left w:w="0" w:type="dxa"/>
              <w:right w:w="0" w:type="dxa"/>
            </w:tcMar>
            <w:vAlign w:val="center"/>
          </w:tcPr>
          <w:p>
            <w:pPr>
              <w:pStyle w:val="TableContents"/>
              <w:bidi w:val="0"/>
              <w:spacing w:before="40" w:after="40"/>
              <w:ind w:left="23" w:right="0" w:firstLine="23"/>
              <w:jc w:val="left"/>
              <w:rPr>
                <w:rFonts w:ascii="Times New Roman" w:hAnsi="Times New Roman"/>
                <w:sz w:val="13"/>
              </w:rPr>
            </w:pPr>
            <w:r>
              <w:rPr>
                <w:rFonts w:ascii="Arial" w:hAnsi="Arial"/>
                <w:b/>
                <w:color w:val="000000"/>
                <w:sz w:val="13"/>
              </w:rPr>
              <w:t>TOTAL</w:t>
            </w:r>
            <w:r>
              <w:rPr>
                <w:rFonts w:ascii="Times New Roman" w:hAnsi="Times New Roman"/>
                <w:color w:val="000000"/>
                <w:sz w:val="13"/>
              </w:rPr>
              <w:t xml:space="preserve"> </w:t>
            </w:r>
            <w:r>
              <w:rPr>
                <w:rFonts w:ascii="Arial" w:hAnsi="Arial"/>
                <w:b/>
                <w:color w:val="000000"/>
                <w:sz w:val="13"/>
              </w:rPr>
              <w:t>CO#22</w:t>
            </w:r>
          </w:p>
        </w:tc>
        <w:tc>
          <w:tcPr>
            <w:tcW w:w="982" w:type="dxa"/>
            <w:tcBorders>
              <w:bottom w:val="single" w:sz="6" w:space="0" w:color="000000"/>
              <w:right w:val="single" w:sz="6" w:space="0" w:color="000000"/>
            </w:tcBorders>
            <w:tcMar>
              <w:top w:w="0" w:type="dxa"/>
              <w:left w:w="0" w:type="dxa"/>
            </w:tcMar>
            <w:vAlign w:val="center"/>
          </w:tcPr>
          <w:p>
            <w:pPr>
              <w:pStyle w:val="TableContents"/>
              <w:bidi w:val="0"/>
              <w:spacing w:before="40" w:after="40"/>
              <w:ind w:left="0" w:right="72" w:hanging="0"/>
              <w:jc w:val="right"/>
              <w:rPr>
                <w:rFonts w:ascii="Arial" w:hAnsi="Arial"/>
                <w:b/>
                <w:color w:val="000000"/>
                <w:sz w:val="12"/>
              </w:rPr>
            </w:pPr>
            <w:r>
              <w:rPr>
                <w:rFonts w:ascii="Arial" w:hAnsi="Arial"/>
                <w:b/>
                <w:color w:val="000000"/>
                <w:sz w:val="12"/>
              </w:rPr>
              <w:t>($45,104.00)</w:t>
            </w:r>
          </w:p>
        </w:tc>
        <w:tc>
          <w:tcPr>
            <w:tcW w:w="841" w:type="dxa"/>
            <w:vMerge w:val="continue"/>
            <w:tcBorders>
              <w:bottom w:val="single" w:sz="6" w:space="0" w:color="000000"/>
            </w:tcBorders>
            <w:tcMar>
              <w:top w:w="0" w:type="dxa"/>
              <w:left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CarGurus acknowledges and agrees that (a) this change order constitutes a Tenant Change Order subject to and in accordance with the terms of the Lease; and (b) (i) it will pay to Landlord, as Additional Rent under the Lease, the actual amount of the increased costs and expenses resulting from this Tenant Change Order, and (ii) any and all delays resulting from the work contemplated by or resulting from this Tenant Change Order shall constitute a Tenant Delay under the Lease. Capitalized terms used but not defined herein shall have the meaning ascribed to them in the Lease. Please countersign this change order in the space below to confirm your agreement.</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5"/>
        </w:rPr>
      </w:pPr>
      <w:r>
        <w:rPr>
          <w:rFonts w:ascii="Arial" w:hAnsi="Arial"/>
          <w:color w:val="000000"/>
          <w:sz w:val="15"/>
        </w:rPr>
        <w:t>Sincerely,</w:t>
      </w:r>
    </w:p>
    <w:p>
      <w:pPr>
        <w:pStyle w:val="TextBody"/>
        <w:bidi w:val="0"/>
        <w:jc w:val="left"/>
        <w:rPr/>
      </w:pPr>
      <w:r>
        <w:rPr/>
        <w:t> </w:t>
      </w:r>
    </w:p>
    <w:p>
      <w:pPr>
        <w:pStyle w:val="TextBody"/>
        <w:bidi w:val="0"/>
        <w:spacing w:before="66" w:after="283"/>
        <w:jc w:val="left"/>
        <w:rPr/>
      </w:pPr>
      <w:r>
        <w:rPr/>
        <w:t> </w:t>
      </w:r>
    </w:p>
    <w:p>
      <w:pPr>
        <w:pStyle w:val="TextBody"/>
        <w:bidi w:val="0"/>
        <w:jc w:val="left"/>
        <w:rPr>
          <w:rFonts w:ascii="Times New Roman" w:hAnsi="Times New Roman"/>
          <w:sz w:val="20"/>
        </w:rPr>
      </w:pPr>
      <w:r>
        <w:rPr>
          <w:rFonts w:ascii="Arial" w:hAnsi="Arial"/>
          <w:b/>
          <w:color w:val="000000"/>
          <w:sz w:val="15"/>
        </w:rPr>
        <w:t>P-12</w:t>
      </w:r>
      <w:r>
        <w:rPr>
          <w:rFonts w:ascii="Times New Roman" w:hAnsi="Times New Roman"/>
          <w:color w:val="000000"/>
          <w:sz w:val="20"/>
        </w:rPr>
        <w:t xml:space="preserve"> </w:t>
      </w:r>
      <w:r>
        <w:rPr>
          <w:rFonts w:ascii="Arial" w:hAnsi="Arial"/>
          <w:b/>
          <w:color w:val="000000"/>
          <w:sz w:val="15"/>
        </w:rPr>
        <w:t>Property</w:t>
      </w:r>
      <w:r>
        <w:rPr>
          <w:rFonts w:ascii="Times New Roman" w:hAnsi="Times New Roman"/>
          <w:color w:val="000000"/>
          <w:sz w:val="20"/>
        </w:rPr>
        <w:t xml:space="preserve"> </w:t>
      </w:r>
      <w:r>
        <w:rPr>
          <w:rFonts w:ascii="Arial" w:hAnsi="Arial"/>
          <w:b/>
          <w:color w:val="000000"/>
          <w:sz w:val="15"/>
        </w:rPr>
        <w:t>LLC</w:t>
      </w:r>
    </w:p>
    <w:p>
      <w:pPr>
        <w:pStyle w:val="TextBody"/>
        <w:bidi w:val="0"/>
        <w:spacing w:before="144" w:after="283"/>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top w:val="single" w:sz="4" w:space="0" w:color="000000"/>
              <w:left w:val="single" w:sz="4" w:space="0" w:color="000000"/>
              <w:bottom w:val="single" w:sz="4" w:space="0" w:color="000000"/>
              <w:right w:val="single" w:sz="4" w:space="0" w:color="000000"/>
            </w:tcBorders>
            <w:shd w:fill="D9E1F2" w:val="clear"/>
            <w:vAlign w:val="center"/>
          </w:tcPr>
          <w:p>
            <w:pPr>
              <w:pStyle w:val="TableContents"/>
              <w:bidi w:val="0"/>
              <w:spacing w:before="18" w:after="283"/>
              <w:jc w:val="left"/>
              <w:rPr>
                <w:rFonts w:ascii="Times New Roman" w:hAnsi="Times New Roman"/>
                <w:sz w:val="13"/>
              </w:rPr>
            </w:pPr>
            <w:r>
              <w:rPr>
                <w:rFonts w:ascii="Arial" w:hAnsi="Arial"/>
                <w:b/>
                <w:color w:val="000000"/>
                <w:sz w:val="13"/>
              </w:rPr>
              <w:t>Acknowledged</w:t>
            </w:r>
            <w:r>
              <w:rPr>
                <w:rFonts w:ascii="Times New Roman" w:hAnsi="Times New Roman"/>
                <w:color w:val="000000"/>
                <w:sz w:val="13"/>
              </w:rPr>
              <w:t xml:space="preserve"> </w:t>
            </w:r>
            <w:r>
              <w:rPr>
                <w:rFonts w:ascii="Arial" w:hAnsi="Arial"/>
                <w:b/>
                <w:color w:val="000000"/>
                <w:sz w:val="13"/>
              </w:rPr>
              <w:t>and</w:t>
            </w:r>
            <w:r>
              <w:rPr>
                <w:rFonts w:ascii="Times New Roman" w:hAnsi="Times New Roman"/>
                <w:color w:val="000000"/>
                <w:sz w:val="13"/>
              </w:rPr>
              <w:t xml:space="preserve"> </w:t>
            </w:r>
            <w:r>
              <w:rPr>
                <w:rFonts w:ascii="Arial" w:hAnsi="Arial"/>
                <w:b/>
                <w:color w:val="000000"/>
                <w:sz w:val="13"/>
              </w:rPr>
              <w:t>Agreed</w:t>
            </w:r>
            <w:r>
              <w:rPr>
                <w:rFonts w:ascii="Times New Roman" w:hAnsi="Times New Roman"/>
                <w:color w:val="000000"/>
                <w:sz w:val="13"/>
              </w:rPr>
              <w:t xml:space="preserve"> </w:t>
            </w:r>
            <w:r>
              <w:rPr>
                <w:rFonts w:ascii="Arial" w:hAnsi="Arial"/>
                <w:b/>
                <w:color w:val="000000"/>
                <w:sz w:val="13"/>
              </w:rPr>
              <w:t>to</w:t>
            </w:r>
            <w:r>
              <w:rPr>
                <w:rFonts w:ascii="Times New Roman" w:hAnsi="Times New Roman"/>
                <w:color w:val="000000"/>
                <w:sz w:val="13"/>
              </w:rPr>
              <w:t xml:space="preserve"> </w:t>
            </w:r>
            <w:r>
              <w:rPr>
                <w:rFonts w:ascii="Arial" w:hAnsi="Arial"/>
                <w:b/>
                <w:color w:val="000000"/>
                <w:sz w:val="13"/>
              </w:rPr>
              <w:t>by:</w:t>
            </w:r>
          </w:p>
        </w:tc>
      </w:tr>
    </w:tbl>
    <w:p>
      <w:pPr>
        <w:pStyle w:val="TextBody"/>
        <w:bidi w:val="0"/>
        <w:spacing w:before="23" w:after="283"/>
        <w:jc w:val="left"/>
        <w:rPr>
          <w:rFonts w:ascii="Times New Roman" w:hAnsi="Times New Roman"/>
          <w:sz w:val="20"/>
        </w:rPr>
      </w:pPr>
      <w:r>
        <w:rPr>
          <w:rFonts w:ascii="Arial" w:hAnsi="Arial"/>
          <w:b/>
          <w:color w:val="000000"/>
          <w:sz w:val="13"/>
        </w:rPr>
        <w:t>CarGurus,</w:t>
      </w:r>
      <w:r>
        <w:rPr>
          <w:rFonts w:ascii="Times New Roman" w:hAnsi="Times New Roman"/>
          <w:color w:val="000000"/>
          <w:sz w:val="20"/>
        </w:rPr>
        <w:t xml:space="preserve"> </w:t>
      </w:r>
      <w:r>
        <w:rPr>
          <w:rFonts w:ascii="Arial" w:hAnsi="Arial"/>
          <w:b/>
          <w:color w:val="000000"/>
          <w:sz w:val="13"/>
        </w:rPr>
        <w:t>Inc.</w:t>
      </w:r>
    </w:p>
    <w:p>
      <w:pPr>
        <w:pStyle w:val="TextBody"/>
        <w:bidi w:val="0"/>
        <w:jc w:val="left"/>
        <w:rPr/>
      </w:pPr>
      <w:r>
        <w:rPr/>
        <w:t> </w:t>
      </w:r>
    </w:p>
    <w:p>
      <w:pPr>
        <w:pStyle w:val="TextBody"/>
        <w:bidi w:val="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283"/>
              <w:jc w:val="left"/>
              <w:rPr>
                <w:sz w:val="4"/>
                <w:szCs w:val="4"/>
              </w:rPr>
            </w:pPr>
            <w:r>
              <w:rPr>
                <w:sz w:val="4"/>
                <w:szCs w:val="4"/>
              </w:rPr>
            </w:r>
          </w:p>
        </w:tc>
      </w:tr>
      <w:tr>
        <w:trPr/>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x /s/ Brandon Morrill</w:t>
            </w:r>
          </w:p>
        </w:tc>
      </w:tr>
      <w:tr>
        <w:trPr/>
        <w:tc>
          <w:tcPr>
            <w:tcW w:w="1411" w:type="dxa"/>
            <w:tcBorders/>
            <w:vAlign w:val="center"/>
          </w:tcPr>
          <w:p>
            <w:pPr>
              <w:pStyle w:val="TableContents"/>
              <w:bidi w:val="0"/>
              <w:spacing w:before="0" w:after="283"/>
              <w:jc w:val="left"/>
              <w:rPr>
                <w:rFonts w:ascii="Arial" w:hAnsi="Arial"/>
                <w:color w:val="000000"/>
                <w:sz w:val="13"/>
              </w:rPr>
            </w:pPr>
            <w:r>
              <w:rPr>
                <w:rFonts w:ascii="Arial" w:hAnsi="Arial"/>
                <w:color w:val="000000"/>
                <w:sz w:val="13"/>
              </w:rPr>
              <w:t>Signtature</w:t>
            </w:r>
          </w:p>
        </w:tc>
      </w:tr>
    </w:tbl>
    <w:p>
      <w:pPr>
        <w:pStyle w:val="TextBody"/>
        <w:bidi w:val="0"/>
        <w:jc w:val="left"/>
        <w:rPr/>
      </w:pPr>
      <w:r>
        <w:rPr/>
        <w:t> </w:t>
      </w:r>
    </w:p>
    <w:p>
      <w:pPr>
        <w:pStyle w:val="TextBody"/>
        <w:bidi w:val="0"/>
        <w:jc w:val="left"/>
        <w:rPr/>
      </w:pPr>
      <w:r>
        <w:rPr/>
        <w:t> </w:t>
      </w:r>
    </w:p>
    <w:tbl>
      <w:tblPr>
        <w:tblW w:w="1727" w:type="dxa"/>
        <w:jc w:val="left"/>
        <w:tblInd w:w="0" w:type="dxa"/>
        <w:tblLayout w:type="fixed"/>
        <w:tblCellMar>
          <w:top w:w="28" w:type="dxa"/>
          <w:left w:w="28" w:type="dxa"/>
          <w:bottom w:w="28" w:type="dxa"/>
          <w:right w:w="28" w:type="dxa"/>
        </w:tblCellMar>
      </w:tblPr>
      <w:tblGrid>
        <w:gridCol w:w="1036"/>
        <w:gridCol w:w="691"/>
      </w:tblGrid>
      <w:tr>
        <w:trPr/>
        <w:tc>
          <w:tcPr>
            <w:tcW w:w="10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Brandon Morrill</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5/3/2024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
        <w:jc w:val="left"/>
        <w:rPr>
          <w:rFonts w:ascii="Times New Roman" w:hAnsi="Times New Roman"/>
          <w:sz w:val="20"/>
        </w:rPr>
      </w:pPr>
      <w:r>
        <w:rPr>
          <w:rFonts w:ascii="Arial" w:hAnsi="Arial"/>
          <w:color w:val="545259"/>
          <w:sz w:val="14"/>
        </w:rPr>
        <w:t>1001 Boy</w:t>
      </w:r>
      <w:r>
        <w:rPr>
          <w:rFonts w:ascii="Arial" w:hAnsi="Arial"/>
          <w:color w:val="6E6972"/>
          <w:sz w:val="14"/>
        </w:rPr>
        <w:t>ls</w:t>
      </w:r>
      <w:r>
        <w:rPr>
          <w:rFonts w:ascii="Arial" w:hAnsi="Arial"/>
          <w:color w:val="545259"/>
          <w:sz w:val="14"/>
        </w:rPr>
        <w:t xml:space="preserve">ton - Office Core/Shell Scope </w:t>
      </w:r>
      <w:r>
        <w:rPr>
          <w:rFonts w:ascii="Arial" w:hAnsi="Arial"/>
          <w:color w:val="3B383F"/>
          <w:sz w:val="14"/>
        </w:rPr>
        <w:t>L</w:t>
      </w:r>
      <w:r>
        <w:rPr>
          <w:rFonts w:ascii="Arial" w:hAnsi="Arial"/>
          <w:color w:val="545259"/>
          <w:sz w:val="14"/>
        </w:rPr>
        <w:t xml:space="preserve">OI </w:t>
      </w:r>
      <w:r>
        <w:rPr>
          <w:rFonts w:ascii="Arial" w:hAnsi="Arial"/>
          <w:color w:val="6E6972"/>
          <w:sz w:val="14"/>
        </w:rPr>
        <w:t>"</w:t>
      </w:r>
      <w:r>
        <w:rPr>
          <w:rFonts w:ascii="Arial" w:hAnsi="Arial"/>
          <w:color w:val="3B383F"/>
          <w:sz w:val="14"/>
        </w:rPr>
        <w:t>E</w:t>
      </w:r>
      <w:r>
        <w:rPr>
          <w:rFonts w:ascii="Arial" w:hAnsi="Arial"/>
          <w:color w:val="545259"/>
          <w:sz w:val="14"/>
        </w:rPr>
        <w:t>xhibit B</w:t>
      </w:r>
      <w:r>
        <w:rPr>
          <w:rFonts w:ascii="Arial" w:hAnsi="Arial"/>
          <w:color w:val="6E6972"/>
          <w:sz w:val="14"/>
        </w:rPr>
        <w:t xml:space="preserve">" - </w:t>
      </w:r>
      <w:r>
        <w:rPr>
          <w:rFonts w:ascii="Arial" w:hAnsi="Arial"/>
          <w:color w:val="545259"/>
          <w:sz w:val="14"/>
        </w:rPr>
        <w:t>Revised 11</w:t>
      </w:r>
      <w:r>
        <w:rPr>
          <w:rFonts w:ascii="Arial" w:hAnsi="Arial"/>
          <w:color w:val="6E6972"/>
          <w:sz w:val="14"/>
        </w:rPr>
        <w:t>-</w:t>
      </w:r>
      <w:r>
        <w:rPr>
          <w:rFonts w:ascii="Arial" w:hAnsi="Arial"/>
          <w:color w:val="545259"/>
          <w:sz w:val="14"/>
        </w:rPr>
        <w:t>7</w:t>
      </w:r>
      <w:r>
        <w:rPr>
          <w:rFonts w:ascii="Arial" w:hAnsi="Arial"/>
          <w:color w:val="6E6972"/>
          <w:sz w:val="14"/>
        </w:rPr>
        <w:t>-</w:t>
      </w:r>
      <w:r>
        <w:rPr>
          <w:rFonts w:ascii="Arial" w:hAnsi="Arial"/>
          <w:color w:val="545259"/>
          <w:sz w:val="14"/>
        </w:rPr>
        <w:t>19</w:t>
      </w:r>
    </w:p>
    <w:tbl>
      <w:tblPr>
        <w:tblW w:w="10205" w:type="dxa"/>
        <w:jc w:val="left"/>
        <w:tblInd w:w="0" w:type="dxa"/>
        <w:tblLayout w:type="fixed"/>
        <w:tblCellMar>
          <w:top w:w="28" w:type="dxa"/>
          <w:left w:w="28" w:type="dxa"/>
          <w:bottom w:w="28" w:type="dxa"/>
          <w:right w:w="28" w:type="dxa"/>
        </w:tblCellMar>
      </w:tblPr>
      <w:tblGrid>
        <w:gridCol w:w="208"/>
        <w:gridCol w:w="3702"/>
        <w:gridCol w:w="225"/>
        <w:gridCol w:w="301"/>
        <w:gridCol w:w="746"/>
        <w:gridCol w:w="677"/>
        <w:gridCol w:w="4346"/>
      </w:tblGrid>
      <w:tr>
        <w:trPr/>
        <w:tc>
          <w:tcPr>
            <w:tcW w:w="208"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46" w:type="dxa"/>
            <w:tcBorders/>
            <w:vAlign w:val="center"/>
          </w:tcPr>
          <w:p>
            <w:pPr>
              <w:pStyle w:val="TableContents"/>
              <w:bidi w:val="0"/>
              <w:spacing w:before="0" w:after="283"/>
              <w:jc w:val="left"/>
              <w:rPr>
                <w:sz w:val="4"/>
                <w:szCs w:val="4"/>
              </w:rPr>
            </w:pPr>
            <w:r>
              <w:rPr>
                <w:sz w:val="4"/>
                <w:szCs w:val="4"/>
              </w:rPr>
            </w:r>
          </w:p>
        </w:tc>
      </w:tr>
      <w:tr>
        <w:trPr/>
        <w:tc>
          <w:tcPr>
            <w:tcW w:w="208" w:type="dxa"/>
            <w:vMerge w:val="restart"/>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vMerge w:val="restart"/>
            <w:tcBorders>
              <w:top w:val="single" w:sz="6" w:space="0" w:color="000000"/>
              <w:bottom w:val="single" w:sz="6" w:space="0" w:color="000000"/>
              <w:right w:val="single" w:sz="2" w:space="0" w:color="000000"/>
            </w:tcBorders>
            <w:tcMar>
              <w:left w:w="0" w:type="dxa"/>
            </w:tcMar>
            <w:vAlign w:val="center"/>
          </w:tcPr>
          <w:p>
            <w:pPr>
              <w:pStyle w:val="TableContents"/>
              <w:bidi w:val="0"/>
              <w:spacing w:before="24" w:after="283"/>
              <w:ind w:left="0" w:right="0" w:firstLine="661"/>
              <w:jc w:val="left"/>
              <w:rPr>
                <w:rFonts w:ascii="Arial" w:hAnsi="Arial"/>
                <w:b/>
                <w:color w:val="3B383F"/>
                <w:sz w:val="13"/>
              </w:rPr>
            </w:pPr>
            <w:r>
              <w:rPr>
                <w:rFonts w:ascii="Arial" w:hAnsi="Arial"/>
                <w:b/>
                <w:color w:val="3B383F"/>
                <w:sz w:val="13"/>
              </w:rPr>
              <w:t>Scope Item</w:t>
            </w:r>
          </w:p>
        </w:tc>
        <w:tc>
          <w:tcPr>
            <w:tcW w:w="1949" w:type="dxa"/>
            <w:gridSpan w:val="4"/>
            <w:tcBorders>
              <w:top w:val="single" w:sz="6" w:space="0" w:color="000000"/>
              <w:bottom w:val="single" w:sz="6" w:space="0" w:color="000000"/>
              <w:right w:val="single" w:sz="6" w:space="0" w:color="000000"/>
            </w:tcBorders>
            <w:tcMar>
              <w:left w:w="0" w:type="dxa"/>
            </w:tcMar>
            <w:vAlign w:val="center"/>
          </w:tcPr>
          <w:p>
            <w:pPr>
              <w:pStyle w:val="TableContents"/>
              <w:bidi w:val="0"/>
              <w:spacing w:before="24" w:after="283"/>
              <w:ind w:left="661" w:right="0" w:firstLine="661"/>
              <w:jc w:val="left"/>
              <w:rPr>
                <w:rFonts w:ascii="Arial" w:hAnsi="Arial"/>
                <w:b/>
                <w:color w:val="262628"/>
                <w:sz w:val="13"/>
              </w:rPr>
            </w:pPr>
            <w:r>
              <w:rPr>
                <w:rFonts w:ascii="Arial" w:hAnsi="Arial"/>
                <w:b/>
                <w:color w:val="262628"/>
                <w:sz w:val="13"/>
              </w:rPr>
              <w:t>Responsibility</w:t>
            </w:r>
          </w:p>
        </w:tc>
        <w:tc>
          <w:tcPr>
            <w:tcW w:w="434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pPr>
            <w:r>
              <w:rPr/>
              <w:t> </w:t>
            </w:r>
          </w:p>
        </w:tc>
      </w:tr>
      <w:tr>
        <w:trPr/>
        <w:tc>
          <w:tcPr>
            <w:tcW w:w="208" w:type="dxa"/>
            <w:vMerge w:val="continue"/>
            <w:tcBorders>
              <w:right w:val="single" w:sz="6" w:space="0" w:color="000000"/>
            </w:tcBorders>
            <w:tcMar>
              <w:top w:w="0" w:type="dxa"/>
              <w:left w:w="0" w:type="dxa"/>
              <w:bottom w:w="0" w:type="dxa"/>
            </w:tcMar>
            <w:vAlign w:val="center"/>
          </w:tcPr>
          <w:p>
            <w:pPr>
              <w:pStyle w:val="Normal"/>
              <w:bidi w:val="0"/>
              <w:jc w:val="left"/>
              <w:rPr/>
            </w:pPr>
            <w:r>
              <w:rPr/>
            </w:r>
          </w:p>
        </w:tc>
        <w:tc>
          <w:tcPr>
            <w:tcW w:w="3702" w:type="dxa"/>
            <w:vMerge w:val="continue"/>
            <w:tcBorders>
              <w:top w:val="single" w:sz="6" w:space="0" w:color="000000"/>
              <w:bottom w:val="single" w:sz="6" w:space="0" w:color="000000"/>
              <w:right w:val="single" w:sz="2" w:space="0" w:color="000000"/>
            </w:tcBorders>
            <w:tcMar>
              <w:left w:w="0" w:type="dxa"/>
            </w:tcMar>
            <w:vAlign w:val="center"/>
          </w:tcPr>
          <w:p>
            <w:pPr>
              <w:pStyle w:val="Normal"/>
              <w:bidi w:val="0"/>
              <w:jc w:val="left"/>
              <w:rPr/>
            </w:pPr>
            <w:r>
              <w:rPr/>
            </w:r>
          </w:p>
        </w:tc>
        <w:tc>
          <w:tcPr>
            <w:tcW w:w="526" w:type="dxa"/>
            <w:gridSpan w:val="2"/>
            <w:tcBorders>
              <w:bottom w:val="single" w:sz="6" w:space="0" w:color="000000"/>
              <w:right w:val="single" w:sz="6" w:space="0" w:color="000000"/>
            </w:tcBorders>
            <w:tcMar>
              <w:top w:w="0" w:type="dxa"/>
              <w:left w:w="0" w:type="dxa"/>
            </w:tcMar>
            <w:vAlign w:val="center"/>
          </w:tcPr>
          <w:p>
            <w:pPr>
              <w:pStyle w:val="TableContents"/>
              <w:bidi w:val="0"/>
              <w:spacing w:before="24" w:after="283"/>
              <w:jc w:val="center"/>
              <w:rPr>
                <w:rFonts w:ascii="Arial" w:hAnsi="Arial"/>
                <w:b/>
                <w:color w:val="3B383F"/>
                <w:sz w:val="13"/>
              </w:rPr>
            </w:pPr>
            <w:r>
              <w:rPr>
                <w:rFonts w:ascii="Arial" w:hAnsi="Arial"/>
                <w:b/>
                <w:color w:val="3B383F"/>
                <w:sz w:val="13"/>
              </w:rPr>
              <w:t>Tenant</w:t>
            </w:r>
          </w:p>
        </w:tc>
        <w:tc>
          <w:tcPr>
            <w:tcW w:w="746" w:type="dxa"/>
            <w:tcBorders>
              <w:bottom w:val="single" w:sz="6" w:space="0" w:color="000000"/>
              <w:right w:val="single" w:sz="6" w:space="0" w:color="000000"/>
            </w:tcBorders>
            <w:tcMar>
              <w:top w:w="0" w:type="dxa"/>
              <w:left w:w="0" w:type="dxa"/>
            </w:tcMar>
            <w:vAlign w:val="center"/>
          </w:tcPr>
          <w:p>
            <w:pPr>
              <w:pStyle w:val="TableContents"/>
              <w:bidi w:val="0"/>
              <w:spacing w:before="24" w:after="283"/>
              <w:ind w:left="0" w:right="0" w:firstLine="72"/>
              <w:jc w:val="center"/>
              <w:rPr>
                <w:rFonts w:ascii="Arial" w:hAnsi="Arial"/>
                <w:b/>
                <w:color w:val="3B383F"/>
                <w:sz w:val="13"/>
              </w:rPr>
            </w:pPr>
            <w:r>
              <w:rPr>
                <w:rFonts w:ascii="Arial" w:hAnsi="Arial"/>
                <w:b/>
                <w:color w:val="3B383F"/>
                <w:sz w:val="13"/>
              </w:rPr>
              <w:t>Landlord</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15" w:after="283"/>
              <w:ind w:left="72" w:right="0" w:firstLine="72"/>
              <w:jc w:val="center"/>
              <w:rPr>
                <w:rFonts w:ascii="Times New Roman" w:hAnsi="Times New Roman"/>
                <w:b/>
                <w:color w:val="3B383F"/>
                <w:sz w:val="14"/>
              </w:rPr>
            </w:pPr>
            <w:r>
              <w:rPr>
                <w:rFonts w:ascii="Times New Roman" w:hAnsi="Times New Roman"/>
                <w:b/>
                <w:color w:val="3B383F"/>
                <w:sz w:val="14"/>
              </w:rPr>
              <w:t>As</w:t>
            </w:r>
          </w:p>
          <w:p>
            <w:pPr>
              <w:pStyle w:val="TableContents"/>
              <w:bidi w:val="0"/>
              <w:spacing w:before="40" w:after="283"/>
              <w:ind w:left="0" w:right="0" w:firstLine="32"/>
              <w:jc w:val="center"/>
              <w:rPr>
                <w:rFonts w:ascii="Arial" w:hAnsi="Arial"/>
                <w:b/>
                <w:color w:val="3B383F"/>
                <w:sz w:val="13"/>
              </w:rPr>
            </w:pPr>
            <w:r>
              <w:rPr>
                <w:rFonts w:ascii="Arial" w:hAnsi="Arial"/>
                <w:b/>
                <w:color w:val="3B383F"/>
                <w:sz w:val="13"/>
              </w:rPr>
              <w:t>Existing</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24" w:after="283"/>
              <w:ind w:left="32" w:right="0" w:firstLine="32"/>
              <w:jc w:val="left"/>
              <w:rPr>
                <w:rFonts w:ascii="Arial" w:hAnsi="Arial"/>
                <w:b/>
                <w:color w:val="3B383F"/>
                <w:sz w:val="13"/>
              </w:rPr>
            </w:pPr>
            <w:r>
              <w:rPr>
                <w:rFonts w:ascii="Arial" w:hAnsi="Arial"/>
                <w:b/>
                <w:color w:val="3B383F"/>
                <w:sz w:val="13"/>
              </w:rPr>
              <w:t>Comments</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37"/>
              <w:jc w:val="left"/>
              <w:rPr/>
            </w:pPr>
            <w:r>
              <w:rPr/>
              <w:t> </w:t>
            </w:r>
          </w:p>
        </w:tc>
        <w:tc>
          <w:tcPr>
            <w:tcW w:w="9997" w:type="dxa"/>
            <w:gridSpan w:val="6"/>
            <w:tcBorders>
              <w:bottom w:val="single" w:sz="6" w:space="0" w:color="000000"/>
              <w:right w:val="single" w:sz="6" w:space="0" w:color="000000"/>
            </w:tcBorders>
            <w:tcMar>
              <w:top w:w="0" w:type="dxa"/>
              <w:left w:w="0" w:type="dxa"/>
            </w:tcMar>
            <w:vAlign w:val="center"/>
          </w:tcPr>
          <w:p>
            <w:pPr>
              <w:pStyle w:val="TableContents"/>
              <w:bidi w:val="0"/>
              <w:spacing w:before="38" w:after="283"/>
              <w:ind w:left="37" w:right="0" w:firstLine="37"/>
              <w:jc w:val="left"/>
              <w:rPr>
                <w:rFonts w:ascii="Times New Roman" w:hAnsi="Times New Roman"/>
                <w:sz w:val="13"/>
              </w:rPr>
            </w:pPr>
            <w:r>
              <w:rPr>
                <w:rFonts w:ascii="Arial" w:hAnsi="Arial"/>
                <w:b/>
                <w:color w:val="545259"/>
                <w:sz w:val="13"/>
              </w:rPr>
              <w:t>F</w:t>
            </w:r>
            <w:r>
              <w:rPr>
                <w:rFonts w:ascii="Arial" w:hAnsi="Arial"/>
                <w:b/>
                <w:color w:val="3B383F"/>
                <w:sz w:val="13"/>
              </w:rPr>
              <w:t xml:space="preserve">loor </w:t>
            </w:r>
            <w:r>
              <w:rPr>
                <w:rFonts w:ascii="Arial" w:hAnsi="Arial"/>
                <w:color w:val="3B383F"/>
                <w:sz w:val="12"/>
              </w:rPr>
              <w:t>Common Area</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7"/>
              <w:jc w:val="left"/>
              <w:rPr/>
            </w:pPr>
            <w:r>
              <w:rPr/>
              <w:t> </w:t>
            </w:r>
          </w:p>
        </w:tc>
        <w:tc>
          <w:tcPr>
            <w:tcW w:w="3702" w:type="dxa"/>
            <w:tcBorders>
              <w:bottom w:val="single" w:sz="6" w:space="0" w:color="000000"/>
              <w:right w:val="single" w:sz="6" w:space="0" w:color="000000"/>
            </w:tcBorders>
            <w:tcMar>
              <w:top w:w="0" w:type="dxa"/>
              <w:left w:w="0" w:type="dxa"/>
            </w:tcMar>
            <w:vAlign w:val="center"/>
          </w:tcPr>
          <w:p>
            <w:pPr>
              <w:pStyle w:val="TableContents"/>
              <w:pBdr/>
              <w:bidi w:val="0"/>
              <w:spacing w:before="0" w:after="283"/>
              <w:ind w:left="43" w:right="0" w:hanging="4"/>
              <w:jc w:val="left"/>
              <w:rPr>
                <w:rFonts w:ascii="Times New Roman" w:hAnsi="Times New Roman"/>
                <w:sz w:val="12"/>
              </w:rPr>
            </w:pPr>
            <w:r>
              <w:rPr>
                <w:rFonts w:ascii="Arial" w:hAnsi="Arial"/>
                <w:color w:val="545259"/>
                <w:sz w:val="12"/>
              </w:rPr>
              <w:t xml:space="preserve">Base </w:t>
            </w:r>
            <w:r>
              <w:rPr>
                <w:rFonts w:ascii="Arial" w:hAnsi="Arial"/>
                <w:color w:val="5B5679"/>
                <w:sz w:val="12"/>
              </w:rPr>
              <w:t xml:space="preserve">building </w:t>
            </w:r>
            <w:r>
              <w:rPr>
                <w:rFonts w:ascii="Arial" w:hAnsi="Arial"/>
                <w:color w:val="545259"/>
                <w:sz w:val="12"/>
              </w:rPr>
              <w:t>mechan</w:t>
            </w:r>
            <w:r>
              <w:rPr>
                <w:rFonts w:ascii="Arial" w:hAnsi="Arial"/>
                <w:color w:val="6E6972"/>
                <w:sz w:val="12"/>
              </w:rPr>
              <w:t>i</w:t>
            </w:r>
            <w:r>
              <w:rPr>
                <w:rFonts w:ascii="Arial" w:hAnsi="Arial"/>
                <w:color w:val="545259"/>
                <w:sz w:val="12"/>
              </w:rPr>
              <w:t>ca</w:t>
            </w:r>
            <w:r>
              <w:rPr>
                <w:rFonts w:ascii="Arial" w:hAnsi="Arial"/>
                <w:color w:val="5B5679"/>
                <w:sz w:val="12"/>
              </w:rPr>
              <w:t>l/</w:t>
            </w:r>
            <w:r>
              <w:rPr>
                <w:rFonts w:ascii="Arial" w:hAnsi="Arial"/>
                <w:color w:val="545259"/>
                <w:sz w:val="12"/>
              </w:rPr>
              <w:t>e</w:t>
            </w:r>
            <w:r>
              <w:rPr>
                <w:rFonts w:ascii="Arial" w:hAnsi="Arial"/>
                <w:color w:val="6E6972"/>
                <w:sz w:val="12"/>
              </w:rPr>
              <w:t>l</w:t>
            </w:r>
            <w:r>
              <w:rPr>
                <w:rFonts w:ascii="Arial" w:hAnsi="Arial"/>
                <w:color w:val="545259"/>
                <w:sz w:val="12"/>
              </w:rPr>
              <w:t xml:space="preserve">ectric/tel-data </w:t>
            </w:r>
            <w:r>
              <w:rPr>
                <w:rFonts w:ascii="Arial" w:hAnsi="Arial"/>
                <w:color w:val="5B5679"/>
                <w:sz w:val="12"/>
              </w:rPr>
              <w:t xml:space="preserve">rooms </w:t>
            </w:r>
            <w:r>
              <w:rPr>
                <w:rFonts w:ascii="Arial" w:hAnsi="Arial"/>
                <w:color w:val="6E6972"/>
                <w:sz w:val="12"/>
              </w:rPr>
              <w:t xml:space="preserve">- </w:t>
            </w:r>
            <w:r>
              <w:rPr>
                <w:rFonts w:ascii="Arial" w:hAnsi="Arial"/>
                <w:color w:val="545259"/>
                <w:sz w:val="12"/>
              </w:rPr>
              <w:t>flooring, wall base</w:t>
            </w:r>
            <w:r>
              <w:rPr>
                <w:rFonts w:ascii="Arial" w:hAnsi="Arial"/>
                <w:color w:val="6E6972"/>
                <w:sz w:val="12"/>
              </w:rPr>
              <w:t xml:space="preserve">, </w:t>
            </w:r>
            <w:r>
              <w:rPr>
                <w:rFonts w:ascii="Arial" w:hAnsi="Arial"/>
                <w:color w:val="545259"/>
                <w:sz w:val="12"/>
              </w:rPr>
              <w:t>painted GBW walls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4" w:after="283"/>
              <w:ind w:left="19" w:right="0" w:firstLine="19"/>
              <w:jc w:val="center"/>
              <w:rPr>
                <w:rFonts w:ascii="Arial" w:hAnsi="Arial"/>
                <w:b/>
                <w:color w:val="545259"/>
                <w:sz w:val="13"/>
              </w:rPr>
            </w:pPr>
            <w:r>
              <w:rPr>
                <w:rFonts w:ascii="Arial" w:hAnsi="Arial"/>
                <w:b/>
                <w:color w:val="545259"/>
                <w:sz w:val="13"/>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39"/>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29" w:after="283"/>
              <w:ind w:left="39" w:right="0" w:firstLine="39"/>
              <w:jc w:val="left"/>
              <w:rPr>
                <w:rFonts w:ascii="Times New Roman" w:hAnsi="Times New Roman"/>
                <w:sz w:val="12"/>
              </w:rPr>
            </w:pPr>
            <w:r>
              <w:rPr>
                <w:rFonts w:ascii="Arial" w:hAnsi="Arial"/>
                <w:color w:val="545259"/>
                <w:sz w:val="12"/>
              </w:rPr>
              <w:t>Taped and sanded GWB at Tenant side of core and mechanica</w:t>
            </w:r>
            <w:r>
              <w:rPr>
                <w:rFonts w:ascii="Arial" w:hAnsi="Arial"/>
                <w:color w:val="6E6972"/>
                <w:sz w:val="12"/>
              </w:rPr>
              <w:t xml:space="preserve">l </w:t>
            </w:r>
            <w:r>
              <w:rPr>
                <w:rFonts w:ascii="Arial" w:hAnsi="Arial"/>
                <w:color w:val="545259"/>
                <w:sz w:val="12"/>
              </w:rPr>
              <w:t>rooms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19" w:after="283"/>
              <w:ind w:left="19" w:right="0" w:firstLine="19"/>
              <w:jc w:val="center"/>
              <w:rPr>
                <w:rFonts w:ascii="Arial" w:hAnsi="Arial"/>
                <w:b/>
                <w:color w:val="545259"/>
                <w:sz w:val="13"/>
              </w:rPr>
            </w:pPr>
            <w:r>
              <w:rPr>
                <w:rFonts w:ascii="Arial" w:hAnsi="Arial"/>
                <w:b/>
                <w:color w:val="545259"/>
                <w:sz w:val="13"/>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39"/>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29" w:after="283"/>
              <w:ind w:left="0" w:right="0" w:firstLine="24"/>
              <w:jc w:val="left"/>
              <w:rPr>
                <w:rFonts w:ascii="Times New Roman" w:hAnsi="Times New Roman"/>
                <w:sz w:val="12"/>
              </w:rPr>
            </w:pPr>
            <w:r>
              <w:rPr>
                <w:rFonts w:ascii="Arial" w:hAnsi="Arial"/>
                <w:color w:val="545259"/>
                <w:sz w:val="12"/>
              </w:rPr>
              <w:t xml:space="preserve">Type X GWB at </w:t>
            </w:r>
            <w:r>
              <w:rPr>
                <w:rFonts w:ascii="Arial" w:hAnsi="Arial"/>
                <w:color w:val="5B5679"/>
                <w:sz w:val="12"/>
              </w:rPr>
              <w:t xml:space="preserve">interior </w:t>
            </w:r>
            <w:r>
              <w:rPr>
                <w:rFonts w:ascii="Arial" w:hAnsi="Arial"/>
                <w:color w:val="545259"/>
                <w:sz w:val="12"/>
              </w:rPr>
              <w:t>face of exterior walls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24" w:after="283"/>
              <w:ind w:left="24" w:right="0" w:firstLine="24"/>
              <w:jc w:val="center"/>
              <w:rPr>
                <w:rFonts w:ascii="Arial" w:hAnsi="Arial"/>
                <w:b/>
                <w:color w:val="545259"/>
                <w:sz w:val="13"/>
              </w:rPr>
            </w:pPr>
            <w:r>
              <w:rPr>
                <w:rFonts w:ascii="Arial" w:hAnsi="Arial"/>
                <w:b/>
                <w:color w:val="545259"/>
                <w:sz w:val="13"/>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0"/>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29" w:after="283"/>
              <w:ind w:left="0" w:right="0" w:firstLine="24"/>
              <w:jc w:val="left"/>
              <w:rPr>
                <w:rFonts w:ascii="Arial" w:hAnsi="Arial"/>
                <w:color w:val="545259"/>
                <w:sz w:val="12"/>
              </w:rPr>
            </w:pPr>
            <w:r>
              <w:rPr>
                <w:rFonts w:ascii="Arial" w:hAnsi="Arial"/>
                <w:color w:val="545259"/>
                <w:sz w:val="12"/>
              </w:rPr>
              <w:t>GWB at column enclosures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24" w:after="283"/>
              <w:ind w:left="24" w:right="0" w:firstLine="24"/>
              <w:jc w:val="center"/>
              <w:rPr>
                <w:rFonts w:ascii="Arial" w:hAnsi="Arial"/>
                <w:b/>
                <w:color w:val="545259"/>
                <w:sz w:val="13"/>
              </w:rPr>
            </w:pPr>
            <w:r>
              <w:rPr>
                <w:rFonts w:ascii="Arial" w:hAnsi="Arial"/>
                <w:b/>
                <w:color w:val="545259"/>
                <w:sz w:val="13"/>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29" w:after="283"/>
              <w:ind w:left="29" w:right="14" w:firstLine="3"/>
              <w:jc w:val="left"/>
              <w:rPr>
                <w:rFonts w:ascii="Times New Roman" w:hAnsi="Times New Roman"/>
                <w:sz w:val="13"/>
              </w:rPr>
            </w:pPr>
            <w:r>
              <w:rPr>
                <w:rFonts w:ascii="Arial" w:hAnsi="Arial"/>
                <w:color w:val="545259"/>
                <w:sz w:val="12"/>
              </w:rPr>
              <w:t xml:space="preserve">GWB by </w:t>
            </w:r>
            <w:r>
              <w:rPr>
                <w:rFonts w:ascii="Arial" w:hAnsi="Arial"/>
                <w:color w:val="5B5679"/>
                <w:sz w:val="12"/>
              </w:rPr>
              <w:t xml:space="preserve">landlord </w:t>
            </w:r>
            <w:r>
              <w:rPr>
                <w:rFonts w:ascii="Arial" w:hAnsi="Arial"/>
                <w:color w:val="545259"/>
                <w:sz w:val="12"/>
              </w:rPr>
              <w:t xml:space="preserve">at all column </w:t>
            </w:r>
            <w:r>
              <w:rPr>
                <w:rFonts w:ascii="Arial" w:hAnsi="Arial"/>
                <w:color w:val="6E6972"/>
                <w:sz w:val="12"/>
              </w:rPr>
              <w:t>l</w:t>
            </w:r>
            <w:r>
              <w:rPr>
                <w:rFonts w:ascii="Arial" w:hAnsi="Arial"/>
                <w:color w:val="545259"/>
                <w:sz w:val="12"/>
              </w:rPr>
              <w:t xml:space="preserve">ocations that BB </w:t>
            </w:r>
            <w:r>
              <w:rPr>
                <w:rFonts w:ascii="Arial" w:hAnsi="Arial"/>
                <w:color w:val="6E6972"/>
                <w:sz w:val="12"/>
              </w:rPr>
              <w:t>i</w:t>
            </w:r>
            <w:r>
              <w:rPr>
                <w:rFonts w:ascii="Arial" w:hAnsi="Arial"/>
                <w:color w:val="545259"/>
                <w:sz w:val="12"/>
              </w:rPr>
              <w:t>nfrastruct</w:t>
            </w:r>
            <w:r>
              <w:rPr>
                <w:rFonts w:ascii="Arial" w:hAnsi="Arial"/>
                <w:color w:val="5B5679"/>
                <w:sz w:val="12"/>
              </w:rPr>
              <w:t>u</w:t>
            </w:r>
            <w:r>
              <w:rPr>
                <w:rFonts w:ascii="Arial" w:hAnsi="Arial"/>
                <w:color w:val="545259"/>
                <w:sz w:val="12"/>
              </w:rPr>
              <w:t xml:space="preserve">re occurs </w:t>
            </w:r>
            <w:r>
              <w:rPr>
                <w:rFonts w:ascii="Arial" w:hAnsi="Arial"/>
                <w:color w:val="6E6972"/>
                <w:sz w:val="12"/>
              </w:rPr>
              <w:t>(i.</w:t>
            </w:r>
            <w:r>
              <w:rPr>
                <w:rFonts w:ascii="Arial" w:hAnsi="Arial"/>
                <w:color w:val="545259"/>
                <w:sz w:val="12"/>
              </w:rPr>
              <w:t>e</w:t>
            </w:r>
            <w:r>
              <w:rPr>
                <w:rFonts w:ascii="Arial" w:hAnsi="Arial"/>
                <w:color w:val="6E6972"/>
                <w:sz w:val="12"/>
              </w:rPr>
              <w:t xml:space="preserve">.: </w:t>
            </w:r>
            <w:r>
              <w:rPr>
                <w:rFonts w:ascii="Arial" w:hAnsi="Arial"/>
                <w:color w:val="545259"/>
                <w:sz w:val="12"/>
              </w:rPr>
              <w:t>ra</w:t>
            </w:r>
            <w:r>
              <w:rPr>
                <w:rFonts w:ascii="Arial" w:hAnsi="Arial"/>
                <w:color w:val="6E6972"/>
                <w:sz w:val="12"/>
              </w:rPr>
              <w:t>i</w:t>
            </w:r>
            <w:r>
              <w:rPr>
                <w:rFonts w:ascii="Arial" w:hAnsi="Arial"/>
                <w:color w:val="545259"/>
                <w:sz w:val="12"/>
              </w:rPr>
              <w:t xml:space="preserve">n leaders).· </w:t>
            </w:r>
            <w:r>
              <w:rPr>
                <w:rFonts w:ascii="Arial" w:hAnsi="Arial"/>
                <w:color w:val="3B383F"/>
                <w:sz w:val="12"/>
              </w:rPr>
              <w:t xml:space="preserve">Landlord to credit </w:t>
            </w:r>
            <w:r>
              <w:rPr>
                <w:rFonts w:ascii="Arial" w:hAnsi="Arial"/>
                <w:b/>
                <w:color w:val="3B383F"/>
                <w:sz w:val="13"/>
              </w:rPr>
              <w:t>cost for gwb walls at column</w:t>
            </w:r>
            <w:r>
              <w:rPr>
                <w:rFonts w:ascii="Arial" w:hAnsi="Arial"/>
                <w:b/>
                <w:color w:val="545259"/>
                <w:sz w:val="13"/>
              </w:rPr>
              <w:t>s</w:t>
            </w:r>
            <w:r>
              <w:rPr>
                <w:rFonts w:ascii="Arial" w:hAnsi="Arial"/>
                <w:b/>
                <w:color w:val="3B383F"/>
                <w:sz w:val="13"/>
              </w:rPr>
              <w:t>with 88 infras</w:t>
            </w:r>
            <w:r>
              <w:rPr>
                <w:rFonts w:ascii="Arial" w:hAnsi="Arial"/>
                <w:b/>
                <w:color w:val="545259"/>
                <w:sz w:val="13"/>
              </w:rPr>
              <w:t>tr</w:t>
            </w:r>
            <w:r>
              <w:rPr>
                <w:rFonts w:ascii="Arial" w:hAnsi="Arial"/>
                <w:b/>
                <w:color w:val="3B383F"/>
                <w:sz w:val="13"/>
              </w:rPr>
              <w:t>ucture</w:t>
            </w:r>
            <w:r>
              <w:rPr>
                <w:rFonts w:ascii="Arial" w:hAnsi="Arial"/>
                <w:b/>
                <w:color w:val="545259"/>
                <w:sz w:val="13"/>
              </w:rPr>
              <w:t xml:space="preserve">. </w:t>
            </w:r>
            <w:r>
              <w:rPr>
                <w:rFonts w:ascii="Arial" w:hAnsi="Arial"/>
                <w:b/>
                <w:color w:val="3B383F"/>
                <w:sz w:val="13"/>
              </w:rPr>
              <w:t>Te</w:t>
            </w:r>
            <w:r>
              <w:rPr>
                <w:rFonts w:ascii="Arial" w:hAnsi="Arial"/>
                <w:b/>
                <w:color w:val="545259"/>
                <w:sz w:val="13"/>
              </w:rPr>
              <w:t>n</w:t>
            </w:r>
            <w:r>
              <w:rPr>
                <w:rFonts w:ascii="Arial" w:hAnsi="Arial"/>
                <w:b/>
                <w:color w:val="3B383F"/>
                <w:sz w:val="13"/>
              </w:rPr>
              <w:t xml:space="preserve">ant to </w:t>
            </w:r>
            <w:r>
              <w:rPr>
                <w:rFonts w:ascii="Arial" w:hAnsi="Arial"/>
                <w:b/>
                <w:color w:val="262628"/>
                <w:sz w:val="13"/>
              </w:rPr>
              <w:t>prov</w:t>
            </w:r>
            <w:r>
              <w:rPr>
                <w:rFonts w:ascii="Arial" w:hAnsi="Arial"/>
                <w:b/>
                <w:color w:val="545259"/>
                <w:sz w:val="13"/>
              </w:rPr>
              <w:t>i</w:t>
            </w:r>
            <w:r>
              <w:rPr>
                <w:rFonts w:ascii="Arial" w:hAnsi="Arial"/>
                <w:b/>
                <w:color w:val="3B383F"/>
                <w:sz w:val="13"/>
              </w:rPr>
              <w:t xml:space="preserve">de as part of </w:t>
            </w:r>
            <w:r>
              <w:rPr>
                <w:rFonts w:ascii="Arial" w:hAnsi="Arial"/>
                <w:b/>
                <w:color w:val="794642"/>
                <w:sz w:val="13"/>
              </w:rPr>
              <w:t>T</w:t>
            </w:r>
            <w:r>
              <w:rPr>
                <w:rFonts w:ascii="Arial" w:hAnsi="Arial"/>
                <w:b/>
                <w:color w:val="3B383F"/>
                <w:sz w:val="13"/>
              </w:rPr>
              <w:t xml:space="preserve">enant </w:t>
            </w:r>
            <w:r>
              <w:rPr>
                <w:rFonts w:ascii="Arial" w:hAnsi="Arial"/>
                <w:b/>
                <w:color w:val="282D52"/>
                <w:sz w:val="13"/>
              </w:rPr>
              <w:t>Inter</w:t>
            </w:r>
            <w:r>
              <w:rPr>
                <w:rFonts w:ascii="Arial" w:hAnsi="Arial"/>
                <w:b/>
                <w:color w:val="545259"/>
                <w:sz w:val="13"/>
              </w:rPr>
              <w:t>i</w:t>
            </w:r>
            <w:r>
              <w:rPr>
                <w:rFonts w:ascii="Arial" w:hAnsi="Arial"/>
                <w:b/>
                <w:color w:val="3B383F"/>
                <w:sz w:val="13"/>
              </w:rPr>
              <w:t>ors worlL</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24" w:after="283"/>
              <w:ind w:left="42" w:right="0" w:firstLine="42"/>
              <w:jc w:val="left"/>
              <w:rPr>
                <w:rFonts w:ascii="Times New Roman" w:hAnsi="Times New Roman"/>
                <w:sz w:val="13"/>
              </w:rPr>
            </w:pPr>
            <w:r>
              <w:rPr>
                <w:rFonts w:ascii="Arial" w:hAnsi="Arial"/>
                <w:b/>
                <w:color w:val="545259"/>
                <w:sz w:val="13"/>
              </w:rPr>
              <w:t xml:space="preserve">Base </w:t>
            </w:r>
            <w:r>
              <w:rPr>
                <w:rFonts w:ascii="Arial" w:hAnsi="Arial"/>
                <w:color w:val="5B5679"/>
                <w:sz w:val="12"/>
              </w:rPr>
              <w:t xml:space="preserve">building </w:t>
            </w:r>
            <w:r>
              <w:rPr>
                <w:rFonts w:ascii="Arial" w:hAnsi="Arial"/>
                <w:color w:val="545259"/>
                <w:sz w:val="12"/>
              </w:rPr>
              <w:t>door frames, doors</w:t>
            </w:r>
            <w:r>
              <w:rPr>
                <w:rFonts w:ascii="Arial" w:hAnsi="Arial"/>
                <w:color w:val="6E6972"/>
                <w:sz w:val="12"/>
              </w:rPr>
              <w:t xml:space="preserve">, </w:t>
            </w:r>
            <w:r>
              <w:rPr>
                <w:rFonts w:ascii="Arial" w:hAnsi="Arial"/>
                <w:color w:val="545259"/>
                <w:sz w:val="12"/>
              </w:rPr>
              <w:t>and hardware</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24" w:after="283"/>
              <w:ind w:left="19" w:right="0" w:firstLine="19"/>
              <w:jc w:val="center"/>
              <w:rPr>
                <w:rFonts w:ascii="Arial" w:hAnsi="Arial"/>
                <w:b/>
                <w:color w:val="545259"/>
                <w:sz w:val="13"/>
              </w:rPr>
            </w:pPr>
            <w:r>
              <w:rPr>
                <w:rFonts w:ascii="Arial" w:hAnsi="Arial"/>
                <w:b/>
                <w:color w:val="545259"/>
                <w:sz w:val="13"/>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1"/>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29" w:after="283"/>
              <w:ind w:left="0" w:right="0" w:firstLine="24"/>
              <w:jc w:val="left"/>
              <w:rPr>
                <w:rFonts w:ascii="Times New Roman" w:hAnsi="Times New Roman"/>
                <w:sz w:val="12"/>
              </w:rPr>
            </w:pPr>
            <w:r>
              <w:rPr>
                <w:rFonts w:ascii="Arial" w:hAnsi="Arial"/>
                <w:color w:val="545259"/>
                <w:sz w:val="12"/>
              </w:rPr>
              <w:t>Shaft enclosures for Tenant provided systems w</w:t>
            </w:r>
            <w:r>
              <w:rPr>
                <w:rFonts w:ascii="Arial" w:hAnsi="Arial"/>
                <w:color w:val="6E6972"/>
                <w:sz w:val="12"/>
              </w:rPr>
              <w:t>ithi</w:t>
            </w:r>
            <w:r>
              <w:rPr>
                <w:rFonts w:ascii="Arial" w:hAnsi="Arial"/>
                <w:color w:val="545259"/>
                <w:sz w:val="12"/>
              </w:rPr>
              <w:t>n building core</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33" w:after="283"/>
              <w:ind w:left="24" w:right="0" w:firstLine="24"/>
              <w:jc w:val="center"/>
              <w:rPr>
                <w:rFonts w:ascii="Arial" w:hAnsi="Arial"/>
                <w:b/>
                <w:color w:val="545259"/>
                <w:sz w:val="12"/>
              </w:rPr>
            </w:pPr>
            <w:r>
              <w:rPr>
                <w:rFonts w:ascii="Arial" w:hAnsi="Arial"/>
                <w:b/>
                <w:color w:val="545259"/>
                <w:sz w:val="12"/>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42" w:right="0" w:firstLine="42"/>
              <w:jc w:val="left"/>
              <w:rPr>
                <w:rFonts w:ascii="Times New Roman" w:hAnsi="Times New Roman"/>
                <w:sz w:val="12"/>
              </w:rPr>
            </w:pPr>
            <w:r>
              <w:rPr>
                <w:rFonts w:ascii="Arial" w:hAnsi="Arial"/>
                <w:color w:val="545259"/>
                <w:sz w:val="12"/>
              </w:rPr>
              <w:t>Part</w:t>
            </w:r>
            <w:r>
              <w:rPr>
                <w:rFonts w:ascii="Arial" w:hAnsi="Arial"/>
                <w:color w:val="6E6972"/>
                <w:sz w:val="12"/>
              </w:rPr>
              <w:t>iti</w:t>
            </w:r>
            <w:r>
              <w:rPr>
                <w:rFonts w:ascii="Arial" w:hAnsi="Arial"/>
                <w:color w:val="545259"/>
                <w:sz w:val="12"/>
              </w:rPr>
              <w:t>ons</w:t>
            </w:r>
            <w:r>
              <w:rPr>
                <w:rFonts w:ascii="Arial" w:hAnsi="Arial"/>
                <w:color w:val="6E6972"/>
                <w:sz w:val="12"/>
              </w:rPr>
              <w:t xml:space="preserve">, </w:t>
            </w:r>
            <w:r>
              <w:rPr>
                <w:rFonts w:ascii="Arial" w:hAnsi="Arial"/>
                <w:color w:val="545259"/>
                <w:sz w:val="12"/>
              </w:rPr>
              <w:t>ce</w:t>
            </w:r>
            <w:r>
              <w:rPr>
                <w:rFonts w:ascii="Arial" w:hAnsi="Arial"/>
                <w:color w:val="6E6972"/>
                <w:sz w:val="12"/>
              </w:rPr>
              <w:t>i</w:t>
            </w:r>
            <w:r>
              <w:rPr>
                <w:rFonts w:ascii="Arial" w:hAnsi="Arial"/>
                <w:color w:val="545259"/>
                <w:sz w:val="12"/>
              </w:rPr>
              <w:t>lings</w:t>
            </w:r>
            <w:r>
              <w:rPr>
                <w:rFonts w:ascii="Arial" w:hAnsi="Arial"/>
                <w:color w:val="6E6972"/>
                <w:sz w:val="12"/>
              </w:rPr>
              <w:t xml:space="preserve">, </w:t>
            </w:r>
            <w:r>
              <w:rPr>
                <w:rFonts w:ascii="Arial" w:hAnsi="Arial"/>
                <w:color w:val="545259"/>
                <w:sz w:val="12"/>
              </w:rPr>
              <w:t>floor</w:t>
            </w:r>
            <w:r>
              <w:rPr>
                <w:rFonts w:ascii="Arial" w:hAnsi="Arial"/>
                <w:color w:val="5B5679"/>
                <w:sz w:val="12"/>
              </w:rPr>
              <w:t>i</w:t>
            </w:r>
            <w:r>
              <w:rPr>
                <w:rFonts w:ascii="Arial" w:hAnsi="Arial"/>
                <w:color w:val="545259"/>
                <w:sz w:val="12"/>
              </w:rPr>
              <w:t>ngs</w:t>
            </w:r>
            <w:r>
              <w:rPr>
                <w:rFonts w:ascii="Arial" w:hAnsi="Arial"/>
                <w:color w:val="6E6972"/>
                <w:sz w:val="12"/>
              </w:rPr>
              <w:t xml:space="preserve">, </w:t>
            </w:r>
            <w:r>
              <w:rPr>
                <w:rFonts w:ascii="Arial" w:hAnsi="Arial"/>
                <w:color w:val="545259"/>
                <w:sz w:val="12"/>
              </w:rPr>
              <w:t>pa</w:t>
            </w:r>
            <w:r>
              <w:rPr>
                <w:rFonts w:ascii="Arial" w:hAnsi="Arial"/>
                <w:color w:val="5B5679"/>
                <w:sz w:val="12"/>
              </w:rPr>
              <w:t>i</w:t>
            </w:r>
            <w:r>
              <w:rPr>
                <w:rFonts w:ascii="Arial" w:hAnsi="Arial"/>
                <w:color w:val="545259"/>
                <w:sz w:val="12"/>
              </w:rPr>
              <w:t>nting</w:t>
            </w:r>
            <w:r>
              <w:rPr>
                <w:rFonts w:ascii="Arial" w:hAnsi="Arial"/>
                <w:color w:val="6E6972"/>
                <w:sz w:val="12"/>
              </w:rPr>
              <w:t xml:space="preserve">, </w:t>
            </w:r>
            <w:r>
              <w:rPr>
                <w:rFonts w:ascii="Arial" w:hAnsi="Arial"/>
                <w:color w:val="545259"/>
                <w:sz w:val="12"/>
              </w:rPr>
              <w:t>finishes</w:t>
            </w:r>
            <w:r>
              <w:rPr>
                <w:rFonts w:ascii="Arial" w:hAnsi="Arial"/>
                <w:color w:val="6E6972"/>
                <w:sz w:val="12"/>
              </w:rPr>
              <w:t xml:space="preserve">, </w:t>
            </w:r>
            <w:r>
              <w:rPr>
                <w:rFonts w:ascii="Arial" w:hAnsi="Arial"/>
                <w:color w:val="545259"/>
                <w:sz w:val="12"/>
              </w:rPr>
              <w:t>doors</w:t>
            </w:r>
            <w:r>
              <w:rPr>
                <w:rFonts w:ascii="Arial" w:hAnsi="Arial"/>
                <w:color w:val="6E6972"/>
                <w:sz w:val="12"/>
              </w:rPr>
              <w:t xml:space="preserve">, </w:t>
            </w:r>
            <w:r>
              <w:rPr>
                <w:rFonts w:ascii="Arial" w:hAnsi="Arial"/>
                <w:color w:val="545259"/>
                <w:sz w:val="12"/>
              </w:rPr>
              <w:t>m</w:t>
            </w:r>
            <w:r>
              <w:rPr>
                <w:rFonts w:ascii="Arial" w:hAnsi="Arial"/>
                <w:color w:val="5B5679"/>
                <w:sz w:val="12"/>
              </w:rPr>
              <w:t>ill</w:t>
            </w:r>
            <w:r>
              <w:rPr>
                <w:rFonts w:ascii="Arial" w:hAnsi="Arial"/>
                <w:color w:val="545259"/>
                <w:sz w:val="12"/>
              </w:rPr>
              <w:t>work</w:t>
            </w:r>
            <w:r>
              <w:rPr>
                <w:rFonts w:ascii="Arial" w:hAnsi="Arial"/>
                <w:color w:val="6E6972"/>
                <w:sz w:val="12"/>
              </w:rPr>
              <w:t xml:space="preserve">, </w:t>
            </w:r>
            <w:r>
              <w:rPr>
                <w:rFonts w:ascii="Arial" w:hAnsi="Arial"/>
                <w:color w:val="545259"/>
                <w:sz w:val="12"/>
              </w:rPr>
              <w:t>and all build-out</w:t>
            </w:r>
          </w:p>
          <w:p>
            <w:pPr>
              <w:pStyle w:val="TableContents"/>
              <w:bidi w:val="0"/>
              <w:spacing w:before="55" w:after="283"/>
              <w:ind w:left="0" w:right="0" w:firstLine="24"/>
              <w:jc w:val="left"/>
              <w:rPr>
                <w:rFonts w:ascii="Times New Roman" w:hAnsi="Times New Roman"/>
                <w:sz w:val="12"/>
              </w:rPr>
            </w:pPr>
            <w:r>
              <w:rPr>
                <w:rFonts w:ascii="Arial" w:hAnsi="Arial"/>
                <w:color w:val="545259"/>
                <w:sz w:val="12"/>
              </w:rPr>
              <w:t>w</w:t>
            </w:r>
            <w:r>
              <w:rPr>
                <w:rFonts w:ascii="Arial" w:hAnsi="Arial"/>
                <w:color w:val="6E6972"/>
                <w:sz w:val="12"/>
              </w:rPr>
              <w:t>i</w:t>
            </w:r>
            <w:r>
              <w:rPr>
                <w:rFonts w:ascii="Arial" w:hAnsi="Arial"/>
                <w:color w:val="545259"/>
                <w:sz w:val="12"/>
              </w:rPr>
              <w:t>th</w:t>
            </w:r>
            <w:r>
              <w:rPr>
                <w:rFonts w:ascii="Arial" w:hAnsi="Arial"/>
                <w:color w:val="5B5679"/>
                <w:sz w:val="12"/>
              </w:rPr>
              <w:t>i</w:t>
            </w:r>
            <w:r>
              <w:rPr>
                <w:rFonts w:ascii="Arial" w:hAnsi="Arial"/>
                <w:color w:val="545259"/>
                <w:sz w:val="12"/>
              </w:rPr>
              <w:t>n Tenant area</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33" w:after="283"/>
              <w:ind w:left="24" w:right="0" w:firstLine="24"/>
              <w:jc w:val="center"/>
              <w:rPr>
                <w:rFonts w:ascii="Arial" w:hAnsi="Arial"/>
                <w:b/>
                <w:color w:val="545259"/>
                <w:sz w:val="12"/>
              </w:rPr>
            </w:pPr>
            <w:r>
              <w:rPr>
                <w:rFonts w:ascii="Arial" w:hAnsi="Arial"/>
                <w:b/>
                <w:color w:val="545259"/>
                <w:sz w:val="12"/>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39"/>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43" w:after="283"/>
              <w:ind w:left="39" w:right="0" w:firstLine="3"/>
              <w:jc w:val="left"/>
              <w:rPr>
                <w:rFonts w:ascii="Times New Roman" w:hAnsi="Times New Roman"/>
                <w:sz w:val="12"/>
              </w:rPr>
            </w:pPr>
            <w:r>
              <w:rPr>
                <w:rFonts w:ascii="Arial" w:hAnsi="Arial"/>
                <w:color w:val="545259"/>
                <w:sz w:val="12"/>
              </w:rPr>
              <w:t xml:space="preserve">Base </w:t>
            </w:r>
            <w:r>
              <w:rPr>
                <w:rFonts w:ascii="Arial" w:hAnsi="Arial"/>
                <w:color w:val="5B5679"/>
                <w:sz w:val="12"/>
              </w:rPr>
              <w:t xml:space="preserve">building </w:t>
            </w:r>
            <w:r>
              <w:rPr>
                <w:rFonts w:ascii="Arial" w:hAnsi="Arial"/>
                <w:color w:val="545259"/>
                <w:sz w:val="12"/>
              </w:rPr>
              <w:t>to</w:t>
            </w:r>
            <w:r>
              <w:rPr>
                <w:rFonts w:ascii="Arial" w:hAnsi="Arial"/>
                <w:color w:val="6E6972"/>
                <w:sz w:val="12"/>
              </w:rPr>
              <w:t>il</w:t>
            </w:r>
            <w:r>
              <w:rPr>
                <w:rFonts w:ascii="Arial" w:hAnsi="Arial"/>
                <w:color w:val="545259"/>
                <w:sz w:val="12"/>
              </w:rPr>
              <w:t xml:space="preserve">et rooms </w:t>
            </w:r>
            <w:r>
              <w:rPr>
                <w:rFonts w:ascii="Arial" w:hAnsi="Arial"/>
                <w:color w:val="6E6972"/>
                <w:sz w:val="12"/>
              </w:rPr>
              <w:t xml:space="preserve">- </w:t>
            </w:r>
            <w:r>
              <w:rPr>
                <w:rFonts w:ascii="Arial" w:hAnsi="Arial"/>
                <w:color w:val="545259"/>
                <w:sz w:val="12"/>
              </w:rPr>
              <w:t>Tile or po</w:t>
            </w:r>
            <w:r>
              <w:rPr>
                <w:rFonts w:ascii="Arial" w:hAnsi="Arial"/>
                <w:color w:val="6E6972"/>
                <w:sz w:val="12"/>
              </w:rPr>
              <w:t>li</w:t>
            </w:r>
            <w:r>
              <w:rPr>
                <w:rFonts w:ascii="Arial" w:hAnsi="Arial"/>
                <w:color w:val="545259"/>
                <w:sz w:val="12"/>
              </w:rPr>
              <w:t>shed concrete floors</w:t>
            </w:r>
            <w:r>
              <w:rPr>
                <w:rFonts w:ascii="Arial" w:hAnsi="Arial"/>
                <w:color w:val="6E6972"/>
                <w:sz w:val="12"/>
              </w:rPr>
              <w:t xml:space="preserve">, </w:t>
            </w:r>
            <w:r>
              <w:rPr>
                <w:rFonts w:ascii="Arial" w:hAnsi="Arial"/>
                <w:color w:val="545259"/>
                <w:sz w:val="12"/>
              </w:rPr>
              <w:t>partial t</w:t>
            </w:r>
            <w:r>
              <w:rPr>
                <w:rFonts w:ascii="Arial" w:hAnsi="Arial"/>
                <w:color w:val="6E6972"/>
                <w:sz w:val="12"/>
              </w:rPr>
              <w:t>il</w:t>
            </w:r>
            <w:r>
              <w:rPr>
                <w:rFonts w:ascii="Arial" w:hAnsi="Arial"/>
                <w:color w:val="545259"/>
                <w:sz w:val="12"/>
              </w:rPr>
              <w:t>e coverage on wa</w:t>
            </w:r>
            <w:r>
              <w:rPr>
                <w:rFonts w:ascii="Arial" w:hAnsi="Arial"/>
                <w:color w:val="5B5679"/>
                <w:sz w:val="12"/>
              </w:rPr>
              <w:t>ll</w:t>
            </w:r>
            <w:r>
              <w:rPr>
                <w:rFonts w:ascii="Arial" w:hAnsi="Arial"/>
                <w:color w:val="545259"/>
                <w:sz w:val="12"/>
              </w:rPr>
              <w:t>s</w:t>
            </w:r>
            <w:r>
              <w:rPr>
                <w:rFonts w:ascii="Arial" w:hAnsi="Arial"/>
                <w:color w:val="6E6972"/>
                <w:sz w:val="12"/>
              </w:rPr>
              <w:t xml:space="preserve">, </w:t>
            </w:r>
            <w:r>
              <w:rPr>
                <w:rFonts w:ascii="Arial" w:hAnsi="Arial"/>
                <w:color w:val="545259"/>
                <w:sz w:val="12"/>
              </w:rPr>
              <w:t>finished ce</w:t>
            </w:r>
            <w:r>
              <w:rPr>
                <w:rFonts w:ascii="Arial" w:hAnsi="Arial"/>
                <w:color w:val="6E6972"/>
                <w:sz w:val="12"/>
              </w:rPr>
              <w:t>ili</w:t>
            </w:r>
            <w:r>
              <w:rPr>
                <w:rFonts w:ascii="Arial" w:hAnsi="Arial"/>
                <w:color w:val="545259"/>
                <w:sz w:val="12"/>
              </w:rPr>
              <w:t>ng, ADA bathroom accessor</w:t>
            </w:r>
            <w:r>
              <w:rPr>
                <w:rFonts w:ascii="Arial" w:hAnsi="Arial"/>
                <w:color w:val="6E6972"/>
                <w:sz w:val="12"/>
              </w:rPr>
              <w:t>i</w:t>
            </w:r>
            <w:r>
              <w:rPr>
                <w:rFonts w:ascii="Arial" w:hAnsi="Arial"/>
                <w:color w:val="545259"/>
                <w:sz w:val="12"/>
              </w:rPr>
              <w:t>es</w:t>
            </w:r>
            <w:r>
              <w:rPr>
                <w:rFonts w:ascii="Arial" w:hAnsi="Arial"/>
                <w:color w:val="6E6972"/>
                <w:sz w:val="12"/>
              </w:rPr>
              <w:t xml:space="preserve">, </w:t>
            </w:r>
            <w:r>
              <w:rPr>
                <w:rFonts w:ascii="Arial" w:hAnsi="Arial"/>
                <w:color w:val="545259"/>
                <w:sz w:val="12"/>
              </w:rPr>
              <w:t>fixtures</w:t>
            </w:r>
            <w:r>
              <w:rPr>
                <w:rFonts w:ascii="Arial" w:hAnsi="Arial"/>
                <w:color w:val="6E6972"/>
                <w:sz w:val="12"/>
              </w:rPr>
              <w:t xml:space="preserve">, </w:t>
            </w:r>
            <w:r>
              <w:rPr>
                <w:rFonts w:ascii="Arial" w:hAnsi="Arial"/>
                <w:color w:val="545259"/>
                <w:sz w:val="12"/>
              </w:rPr>
              <w:t>hand dryers</w:t>
            </w:r>
            <w:r>
              <w:rPr>
                <w:rFonts w:ascii="Arial" w:hAnsi="Arial"/>
                <w:color w:val="6E6972"/>
                <w:sz w:val="12"/>
              </w:rPr>
              <w:t xml:space="preserve">, </w:t>
            </w:r>
            <w:r>
              <w:rPr>
                <w:rFonts w:ascii="Arial" w:hAnsi="Arial"/>
                <w:color w:val="545259"/>
                <w:sz w:val="12"/>
              </w:rPr>
              <w:t>and toilet partitions (with privacy panels</w:t>
            </w:r>
            <w:r>
              <w:rPr>
                <w:rFonts w:ascii="Arial" w:hAnsi="Arial"/>
                <w:color w:val="6E6972"/>
                <w:sz w:val="12"/>
              </w:rPr>
              <w:t>)</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4" w:after="283"/>
              <w:ind w:left="19" w:right="0" w:firstLine="19"/>
              <w:jc w:val="center"/>
              <w:rPr>
                <w:rFonts w:ascii="Arial" w:hAnsi="Arial"/>
                <w:b/>
                <w:color w:val="545259"/>
                <w:sz w:val="13"/>
              </w:rPr>
            </w:pPr>
            <w:r>
              <w:rPr>
                <w:rFonts w:ascii="Arial" w:hAnsi="Arial"/>
                <w:b/>
                <w:color w:val="545259"/>
                <w:sz w:val="13"/>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9"/>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43" w:after="283"/>
              <w:ind w:left="29" w:right="0" w:firstLine="29"/>
              <w:jc w:val="left"/>
              <w:rPr>
                <w:rFonts w:ascii="Arial" w:hAnsi="Arial"/>
                <w:color w:val="545259"/>
                <w:sz w:val="12"/>
              </w:rPr>
            </w:pPr>
            <w:r>
              <w:rPr>
                <w:rFonts w:ascii="Arial" w:hAnsi="Arial"/>
                <w:color w:val="545259"/>
                <w:sz w:val="12"/>
              </w:rPr>
              <w:t>Meet 100 SF per person</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39"/>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29" w:after="283"/>
              <w:ind w:left="0" w:right="0" w:firstLine="24"/>
              <w:jc w:val="left"/>
              <w:rPr>
                <w:rFonts w:ascii="Times New Roman" w:hAnsi="Times New Roman"/>
                <w:sz w:val="12"/>
              </w:rPr>
            </w:pPr>
            <w:r>
              <w:rPr>
                <w:rFonts w:ascii="Arial" w:hAnsi="Arial"/>
                <w:color w:val="6E6972"/>
                <w:sz w:val="12"/>
              </w:rPr>
              <w:t>T</w:t>
            </w:r>
            <w:r>
              <w:rPr>
                <w:rFonts w:ascii="Arial" w:hAnsi="Arial"/>
                <w:color w:val="545259"/>
                <w:sz w:val="12"/>
              </w:rPr>
              <w:t>enant k</w:t>
            </w:r>
            <w:r>
              <w:rPr>
                <w:rFonts w:ascii="Arial" w:hAnsi="Arial"/>
                <w:color w:val="6E6972"/>
                <w:sz w:val="12"/>
              </w:rPr>
              <w:t>i</w:t>
            </w:r>
            <w:r>
              <w:rPr>
                <w:rFonts w:ascii="Arial" w:hAnsi="Arial"/>
                <w:color w:val="545259"/>
                <w:sz w:val="12"/>
              </w:rPr>
              <w:t>tchens</w:t>
            </w:r>
            <w:r>
              <w:rPr>
                <w:rFonts w:ascii="Arial" w:hAnsi="Arial"/>
                <w:color w:val="6E6972"/>
                <w:sz w:val="12"/>
              </w:rPr>
              <w:t xml:space="preserve">, </w:t>
            </w:r>
            <w:r>
              <w:rPr>
                <w:rFonts w:ascii="Arial" w:hAnsi="Arial"/>
                <w:color w:val="545259"/>
                <w:sz w:val="12"/>
              </w:rPr>
              <w:t>and Tenant fit-out to</w:t>
            </w:r>
            <w:r>
              <w:rPr>
                <w:rFonts w:ascii="Arial" w:hAnsi="Arial"/>
                <w:color w:val="6E6972"/>
                <w:sz w:val="12"/>
              </w:rPr>
              <w:t>il</w:t>
            </w:r>
            <w:r>
              <w:rPr>
                <w:rFonts w:ascii="Arial" w:hAnsi="Arial"/>
                <w:color w:val="545259"/>
                <w:sz w:val="12"/>
              </w:rPr>
              <w:t xml:space="preserve">et rooms </w:t>
            </w:r>
            <w:r>
              <w:rPr>
                <w:rFonts w:ascii="Arial" w:hAnsi="Arial"/>
                <w:color w:val="5B5679"/>
                <w:sz w:val="12"/>
              </w:rPr>
              <w:t xml:space="preserve">including </w:t>
            </w:r>
            <w:r>
              <w:rPr>
                <w:rFonts w:ascii="Arial" w:hAnsi="Arial"/>
                <w:color w:val="545259"/>
                <w:sz w:val="12"/>
              </w:rPr>
              <w:t>plumb</w:t>
            </w:r>
            <w:r>
              <w:rPr>
                <w:rFonts w:ascii="Arial" w:hAnsi="Arial"/>
                <w:color w:val="6E6972"/>
                <w:sz w:val="12"/>
              </w:rPr>
              <w:t>i</w:t>
            </w:r>
            <w:r>
              <w:rPr>
                <w:rFonts w:ascii="Arial" w:hAnsi="Arial"/>
                <w:color w:val="545259"/>
                <w:sz w:val="12"/>
              </w:rPr>
              <w:t>ng</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29" w:after="283"/>
              <w:ind w:left="24" w:right="0" w:firstLine="24"/>
              <w:jc w:val="center"/>
              <w:rPr>
                <w:rFonts w:ascii="Arial" w:hAnsi="Arial"/>
                <w:b/>
                <w:color w:val="545259"/>
                <w:sz w:val="12"/>
              </w:rPr>
            </w:pPr>
            <w:r>
              <w:rPr>
                <w:rFonts w:ascii="Arial" w:hAnsi="Arial"/>
                <w:b/>
                <w:color w:val="545259"/>
                <w:sz w:val="12"/>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0" w:right="0" w:firstLine="24"/>
              <w:jc w:val="left"/>
              <w:rPr>
                <w:rFonts w:ascii="Times New Roman" w:hAnsi="Times New Roman"/>
                <w:sz w:val="12"/>
              </w:rPr>
            </w:pPr>
            <w:r>
              <w:rPr>
                <w:rFonts w:ascii="Arial" w:hAnsi="Arial"/>
                <w:color w:val="545259"/>
                <w:sz w:val="12"/>
              </w:rPr>
              <w:t xml:space="preserve">Mechanical/electric/tel-data rooms for </w:t>
            </w:r>
            <w:r>
              <w:rPr>
                <w:rFonts w:ascii="Arial" w:hAnsi="Arial"/>
                <w:color w:val="6E6972"/>
                <w:sz w:val="12"/>
              </w:rPr>
              <w:t>i</w:t>
            </w:r>
            <w:r>
              <w:rPr>
                <w:rFonts w:ascii="Arial" w:hAnsi="Arial"/>
                <w:color w:val="545259"/>
                <w:sz w:val="12"/>
              </w:rPr>
              <w:t>ndividua</w:t>
            </w:r>
            <w:r>
              <w:rPr>
                <w:rFonts w:ascii="Arial" w:hAnsi="Arial"/>
                <w:color w:val="5B5679"/>
                <w:sz w:val="12"/>
              </w:rPr>
              <w:t xml:space="preserve">l </w:t>
            </w:r>
            <w:r>
              <w:rPr>
                <w:rFonts w:ascii="Arial" w:hAnsi="Arial"/>
                <w:color w:val="545259"/>
                <w:sz w:val="12"/>
              </w:rPr>
              <w:t>Tenant systems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24" w:after="283"/>
              <w:ind w:left="24" w:right="0" w:firstLine="24"/>
              <w:jc w:val="center"/>
              <w:rPr>
                <w:rFonts w:ascii="Arial" w:hAnsi="Arial"/>
                <w:b/>
                <w:color w:val="545259"/>
                <w:sz w:val="13"/>
              </w:rPr>
            </w:pPr>
            <w:r>
              <w:rPr>
                <w:rFonts w:ascii="Arial" w:hAnsi="Arial"/>
                <w:b/>
                <w:color w:val="545259"/>
                <w:sz w:val="13"/>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pBdr/>
              <w:bidi w:val="0"/>
              <w:spacing w:before="43" w:after="283"/>
              <w:ind w:left="41" w:right="0" w:hanging="1"/>
              <w:jc w:val="left"/>
              <w:rPr>
                <w:rFonts w:ascii="Times New Roman" w:hAnsi="Times New Roman"/>
                <w:sz w:val="12"/>
              </w:rPr>
            </w:pPr>
            <w:r>
              <w:rPr>
                <w:rFonts w:ascii="Arial" w:hAnsi="Arial"/>
                <w:color w:val="545259"/>
                <w:sz w:val="12"/>
              </w:rPr>
              <w:t xml:space="preserve">Horizontal window blinds and/or window </w:t>
            </w:r>
            <w:r>
              <w:rPr>
                <w:rFonts w:ascii="Arial" w:hAnsi="Arial"/>
                <w:color w:val="5B5679"/>
                <w:sz w:val="12"/>
              </w:rPr>
              <w:t xml:space="preserve">treatments (See </w:t>
            </w:r>
            <w:r>
              <w:rPr>
                <w:rFonts w:ascii="Arial" w:hAnsi="Arial"/>
                <w:color w:val="545259"/>
                <w:sz w:val="12"/>
              </w:rPr>
              <w:t>LL standard s</w:t>
            </w:r>
            <w:r>
              <w:rPr>
                <w:rFonts w:ascii="Arial" w:hAnsi="Arial"/>
                <w:color w:val="5B5679"/>
                <w:sz w:val="12"/>
              </w:rPr>
              <w:t>h</w:t>
            </w:r>
            <w:r>
              <w:rPr>
                <w:rFonts w:ascii="Arial" w:hAnsi="Arial"/>
                <w:color w:val="545259"/>
                <w:sz w:val="12"/>
              </w:rPr>
              <w:t>ade</w:t>
            </w:r>
            <w:r>
              <w:rPr>
                <w:rFonts w:ascii="Arial" w:hAnsi="Arial"/>
                <w:color w:val="6E6972"/>
                <w:sz w:val="12"/>
              </w:rPr>
              <w:t xml:space="preserve">, </w:t>
            </w:r>
            <w:r>
              <w:rPr>
                <w:rFonts w:ascii="Arial" w:hAnsi="Arial"/>
                <w:color w:val="545259"/>
                <w:sz w:val="12"/>
              </w:rPr>
              <w:t>co</w:t>
            </w:r>
            <w:r>
              <w:rPr>
                <w:rFonts w:ascii="Arial" w:hAnsi="Arial"/>
                <w:color w:val="6E6972"/>
                <w:sz w:val="12"/>
              </w:rPr>
              <w:t>l</w:t>
            </w:r>
            <w:r>
              <w:rPr>
                <w:rFonts w:ascii="Arial" w:hAnsi="Arial"/>
                <w:color w:val="545259"/>
                <w:sz w:val="12"/>
              </w:rPr>
              <w:t>or</w:t>
            </w:r>
            <w:r>
              <w:rPr>
                <w:rFonts w:ascii="Arial" w:hAnsi="Arial"/>
                <w:color w:val="6E6972"/>
                <w:sz w:val="12"/>
              </w:rPr>
              <w:t xml:space="preserve">, </w:t>
            </w:r>
            <w:r>
              <w:rPr>
                <w:rFonts w:ascii="Arial" w:hAnsi="Arial"/>
                <w:color w:val="545259"/>
                <w:sz w:val="12"/>
              </w:rPr>
              <w:t>and</w:t>
            </w:r>
          </w:p>
          <w:p>
            <w:pPr>
              <w:pStyle w:val="TableContents"/>
              <w:bidi w:val="0"/>
              <w:spacing w:before="1" w:after="283"/>
              <w:ind w:left="0" w:right="0" w:firstLine="24"/>
              <w:jc w:val="left"/>
              <w:rPr>
                <w:rFonts w:ascii="Times New Roman" w:hAnsi="Times New Roman"/>
                <w:sz w:val="12"/>
              </w:rPr>
            </w:pPr>
            <w:r>
              <w:rPr>
                <w:rFonts w:ascii="Arial" w:hAnsi="Arial"/>
                <w:color w:val="545259"/>
                <w:sz w:val="12"/>
              </w:rPr>
              <w:t>mount</w:t>
            </w:r>
            <w:r>
              <w:rPr>
                <w:rFonts w:ascii="Arial" w:hAnsi="Arial"/>
                <w:color w:val="6E6972"/>
                <w:sz w:val="12"/>
              </w:rPr>
              <w:t>i</w:t>
            </w:r>
            <w:r>
              <w:rPr>
                <w:rFonts w:ascii="Arial" w:hAnsi="Arial"/>
                <w:color w:val="545259"/>
                <w:sz w:val="12"/>
              </w:rPr>
              <w:t>ng deta</w:t>
            </w:r>
            <w:r>
              <w:rPr>
                <w:rFonts w:ascii="Arial" w:hAnsi="Arial"/>
                <w:color w:val="6E6972"/>
                <w:sz w:val="12"/>
              </w:rPr>
              <w:t>il)</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43" w:after="283"/>
              <w:ind w:left="24" w:right="0" w:firstLine="24"/>
              <w:jc w:val="center"/>
              <w:rPr>
                <w:rFonts w:ascii="Arial" w:hAnsi="Arial"/>
                <w:b/>
                <w:color w:val="545259"/>
                <w:sz w:val="12"/>
              </w:rPr>
            </w:pPr>
            <w:r>
              <w:rPr>
                <w:rFonts w:ascii="Arial" w:hAnsi="Arial"/>
                <w:b/>
                <w:color w:val="545259"/>
                <w:sz w:val="12"/>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6"/>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pBdr/>
              <w:bidi w:val="0"/>
              <w:spacing w:before="24" w:after="283"/>
              <w:ind w:left="42" w:right="170" w:hanging="4"/>
              <w:jc w:val="left"/>
              <w:rPr>
                <w:rFonts w:ascii="Times New Roman" w:hAnsi="Times New Roman"/>
                <w:sz w:val="13"/>
              </w:rPr>
            </w:pPr>
            <w:r>
              <w:rPr>
                <w:rFonts w:ascii="Arial" w:hAnsi="Arial"/>
                <w:b/>
                <w:color w:val="545259"/>
                <w:sz w:val="13"/>
              </w:rPr>
              <w:t>Ex</w:t>
            </w:r>
            <w:r>
              <w:rPr>
                <w:rFonts w:ascii="Arial" w:hAnsi="Arial"/>
                <w:b/>
                <w:color w:val="6E6972"/>
                <w:sz w:val="13"/>
              </w:rPr>
              <w:t>i</w:t>
            </w:r>
            <w:r>
              <w:rPr>
                <w:rFonts w:ascii="Arial" w:hAnsi="Arial"/>
                <w:b/>
                <w:color w:val="545259"/>
                <w:sz w:val="13"/>
              </w:rPr>
              <w:t xml:space="preserve">t </w:t>
            </w:r>
            <w:r>
              <w:rPr>
                <w:rFonts w:ascii="Arial" w:hAnsi="Arial"/>
                <w:color w:val="545259"/>
                <w:sz w:val="12"/>
              </w:rPr>
              <w:t xml:space="preserve">stairs </w:t>
            </w:r>
            <w:r>
              <w:rPr>
                <w:rFonts w:ascii="Arial" w:hAnsi="Arial"/>
                <w:color w:val="6E6972"/>
                <w:sz w:val="12"/>
              </w:rPr>
              <w:t xml:space="preserve">- </w:t>
            </w:r>
            <w:r>
              <w:rPr>
                <w:rFonts w:ascii="Arial" w:hAnsi="Arial"/>
                <w:color w:val="545259"/>
                <w:sz w:val="12"/>
              </w:rPr>
              <w:t>F</w:t>
            </w:r>
            <w:r>
              <w:rPr>
                <w:rFonts w:ascii="Arial" w:hAnsi="Arial"/>
                <w:color w:val="6E6972"/>
                <w:sz w:val="12"/>
              </w:rPr>
              <w:t>ini</w:t>
            </w:r>
            <w:r>
              <w:rPr>
                <w:rFonts w:ascii="Arial" w:hAnsi="Arial"/>
                <w:color w:val="545259"/>
                <w:sz w:val="12"/>
              </w:rPr>
              <w:t xml:space="preserve">shes </w:t>
            </w:r>
            <w:r>
              <w:rPr>
                <w:rFonts w:ascii="Arial" w:hAnsi="Arial"/>
                <w:color w:val="5B5679"/>
                <w:sz w:val="12"/>
              </w:rPr>
              <w:t xml:space="preserve">include </w:t>
            </w:r>
            <w:r>
              <w:rPr>
                <w:rFonts w:ascii="Arial" w:hAnsi="Arial"/>
                <w:color w:val="545259"/>
                <w:sz w:val="12"/>
              </w:rPr>
              <w:t>painted st</w:t>
            </w:r>
            <w:r>
              <w:rPr>
                <w:rFonts w:ascii="Arial" w:hAnsi="Arial"/>
                <w:color w:val="5B5679"/>
                <w:sz w:val="12"/>
              </w:rPr>
              <w:t>ri</w:t>
            </w:r>
            <w:r>
              <w:rPr>
                <w:rFonts w:ascii="Arial" w:hAnsi="Arial"/>
                <w:color w:val="545259"/>
                <w:sz w:val="12"/>
              </w:rPr>
              <w:t>nger</w:t>
            </w:r>
            <w:r>
              <w:rPr>
                <w:rFonts w:ascii="Arial" w:hAnsi="Arial"/>
                <w:color w:val="6E6972"/>
                <w:sz w:val="12"/>
              </w:rPr>
              <w:t xml:space="preserve">, </w:t>
            </w:r>
            <w:r>
              <w:rPr>
                <w:rFonts w:ascii="Arial" w:hAnsi="Arial"/>
                <w:color w:val="545259"/>
                <w:sz w:val="12"/>
              </w:rPr>
              <w:t>risers</w:t>
            </w:r>
            <w:r>
              <w:rPr>
                <w:rFonts w:ascii="Arial" w:hAnsi="Arial"/>
                <w:color w:val="6E6972"/>
                <w:sz w:val="12"/>
              </w:rPr>
              <w:t xml:space="preserve">, </w:t>
            </w:r>
            <w:r>
              <w:rPr>
                <w:rFonts w:ascii="Arial" w:hAnsi="Arial"/>
                <w:color w:val="545259"/>
                <w:sz w:val="12"/>
              </w:rPr>
              <w:t>and ra</w:t>
            </w:r>
            <w:r>
              <w:rPr>
                <w:rFonts w:ascii="Arial" w:hAnsi="Arial"/>
                <w:color w:val="5B5679"/>
                <w:sz w:val="12"/>
              </w:rPr>
              <w:t>ili</w:t>
            </w:r>
            <w:r>
              <w:rPr>
                <w:rFonts w:ascii="Arial" w:hAnsi="Arial"/>
                <w:color w:val="545259"/>
                <w:sz w:val="12"/>
              </w:rPr>
              <w:t>ngs</w:t>
            </w:r>
            <w:r>
              <w:rPr>
                <w:rFonts w:ascii="Arial" w:hAnsi="Arial"/>
                <w:color w:val="6E6972"/>
                <w:sz w:val="12"/>
              </w:rPr>
              <w:t xml:space="preserve">, </w:t>
            </w:r>
            <w:r>
              <w:rPr>
                <w:rFonts w:ascii="Arial" w:hAnsi="Arial"/>
                <w:color w:val="545259"/>
                <w:sz w:val="12"/>
              </w:rPr>
              <w:t>sealed concrete floor and treads</w:t>
            </w:r>
            <w:r>
              <w:rPr>
                <w:rFonts w:ascii="Arial" w:hAnsi="Arial"/>
                <w:color w:val="6E6972"/>
                <w:sz w:val="12"/>
              </w:rPr>
              <w:t>,</w:t>
            </w:r>
          </w:p>
          <w:p>
            <w:pPr>
              <w:pStyle w:val="TableContents"/>
              <w:bidi w:val="0"/>
              <w:spacing w:before="6" w:after="283"/>
              <w:ind w:left="45" w:right="0" w:firstLine="46"/>
              <w:jc w:val="left"/>
              <w:rPr>
                <w:rFonts w:ascii="Times New Roman" w:hAnsi="Times New Roman"/>
                <w:sz w:val="12"/>
              </w:rPr>
            </w:pPr>
            <w:r>
              <w:rPr>
                <w:rFonts w:ascii="Arial" w:hAnsi="Arial"/>
                <w:color w:val="545259"/>
                <w:sz w:val="12"/>
              </w:rPr>
              <w:t xml:space="preserve">vinyl base at </w:t>
            </w:r>
            <w:r>
              <w:rPr>
                <w:rFonts w:ascii="Arial" w:hAnsi="Arial"/>
                <w:color w:val="5B5679"/>
                <w:sz w:val="12"/>
              </w:rPr>
              <w:t xml:space="preserve">landings, </w:t>
            </w:r>
            <w:r>
              <w:rPr>
                <w:rFonts w:ascii="Arial" w:hAnsi="Arial"/>
                <w:color w:val="545259"/>
                <w:sz w:val="12"/>
              </w:rPr>
              <w:t>painted GWB wa</w:t>
            </w:r>
            <w:r>
              <w:rPr>
                <w:rFonts w:ascii="Arial" w:hAnsi="Arial"/>
                <w:color w:val="6E6972"/>
                <w:sz w:val="12"/>
              </w:rPr>
              <w:t>ll</w:t>
            </w:r>
            <w:r>
              <w:rPr>
                <w:rFonts w:ascii="Arial" w:hAnsi="Arial"/>
                <w:color w:val="545259"/>
                <w:sz w:val="12"/>
              </w:rPr>
              <w:t>s (except at concrete core)</w:t>
            </w:r>
            <w:r>
              <w:rPr>
                <w:rFonts w:ascii="Arial" w:hAnsi="Arial"/>
                <w:color w:val="6E6972"/>
                <w:sz w:val="12"/>
              </w:rPr>
              <w:t xml:space="preserve">, </w:t>
            </w:r>
            <w:r>
              <w:rPr>
                <w:rFonts w:ascii="Arial" w:hAnsi="Arial"/>
                <w:color w:val="545259"/>
                <w:sz w:val="12"/>
              </w:rPr>
              <w:t>no ceilings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19" w:right="4" w:firstLine="19"/>
              <w:jc w:val="center"/>
              <w:rPr>
                <w:rFonts w:ascii="Arial" w:hAnsi="Arial"/>
                <w:b/>
                <w:color w:val="545259"/>
                <w:sz w:val="12"/>
              </w:rPr>
            </w:pPr>
            <w:r>
              <w:rPr>
                <w:rFonts w:ascii="Arial" w:hAnsi="Arial"/>
                <w:b/>
                <w:color w:val="545259"/>
                <w:sz w:val="12"/>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34" w:after="283"/>
              <w:ind w:left="42" w:right="0" w:firstLine="42"/>
              <w:jc w:val="left"/>
              <w:rPr>
                <w:rFonts w:ascii="Times New Roman" w:hAnsi="Times New Roman"/>
                <w:sz w:val="13"/>
              </w:rPr>
            </w:pPr>
            <w:r>
              <w:rPr>
                <w:rFonts w:ascii="Arial" w:hAnsi="Arial"/>
                <w:color w:val="545259"/>
                <w:sz w:val="12"/>
              </w:rPr>
              <w:t>Furn</w:t>
            </w:r>
            <w:r>
              <w:rPr>
                <w:rFonts w:ascii="Arial" w:hAnsi="Arial"/>
                <w:color w:val="6E6972"/>
                <w:sz w:val="12"/>
              </w:rPr>
              <w:t>i</w:t>
            </w:r>
            <w:r>
              <w:rPr>
                <w:rFonts w:ascii="Arial" w:hAnsi="Arial"/>
                <w:color w:val="545259"/>
                <w:sz w:val="12"/>
              </w:rPr>
              <w:t>sh and insta</w:t>
            </w:r>
            <w:r>
              <w:rPr>
                <w:rFonts w:ascii="Arial" w:hAnsi="Arial"/>
                <w:color w:val="6E6972"/>
                <w:sz w:val="12"/>
              </w:rPr>
              <w:t xml:space="preserve">ll </w:t>
            </w:r>
            <w:r>
              <w:rPr>
                <w:rFonts w:ascii="Arial" w:hAnsi="Arial"/>
                <w:color w:val="545259"/>
                <w:sz w:val="12"/>
              </w:rPr>
              <w:t xml:space="preserve">of a </w:t>
            </w:r>
            <w:r>
              <w:rPr>
                <w:rFonts w:ascii="Arial" w:hAnsi="Arial"/>
                <w:color w:val="6E6972"/>
                <w:sz w:val="12"/>
              </w:rPr>
              <w:t>l</w:t>
            </w:r>
            <w:r>
              <w:rPr>
                <w:rFonts w:ascii="Arial" w:hAnsi="Arial"/>
                <w:color w:val="545259"/>
                <w:sz w:val="12"/>
              </w:rPr>
              <w:t>a</w:t>
            </w:r>
            <w:r>
              <w:rPr>
                <w:rFonts w:ascii="Arial" w:hAnsi="Arial"/>
                <w:color w:val="5B5679"/>
                <w:sz w:val="12"/>
              </w:rPr>
              <w:t>r</w:t>
            </w:r>
            <w:r>
              <w:rPr>
                <w:rFonts w:ascii="Arial" w:hAnsi="Arial"/>
                <w:color w:val="545259"/>
                <w:sz w:val="12"/>
              </w:rPr>
              <w:t>ger</w:t>
            </w:r>
            <w:r>
              <w:rPr>
                <w:rFonts w:ascii="Arial" w:hAnsi="Arial"/>
                <w:color w:val="6E6972"/>
                <w:sz w:val="12"/>
              </w:rPr>
              <w:t xml:space="preserve">, </w:t>
            </w:r>
            <w:r>
              <w:rPr>
                <w:rFonts w:ascii="Arial" w:hAnsi="Arial"/>
                <w:color w:val="545259"/>
                <w:sz w:val="12"/>
              </w:rPr>
              <w:t xml:space="preserve">dressed up stair to act as </w:t>
            </w:r>
            <w:r>
              <w:rPr>
                <w:rFonts w:ascii="Arial" w:hAnsi="Arial"/>
                <w:i/>
                <w:color w:val="545259"/>
                <w:sz w:val="13"/>
              </w:rPr>
              <w:t xml:space="preserve">a </w:t>
            </w:r>
            <w:r>
              <w:rPr>
                <w:rFonts w:ascii="Arial" w:hAnsi="Arial"/>
                <w:color w:val="545259"/>
                <w:sz w:val="12"/>
              </w:rPr>
              <w:t>commun</w:t>
            </w:r>
            <w:r>
              <w:rPr>
                <w:rFonts w:ascii="Arial" w:hAnsi="Arial"/>
                <w:color w:val="6E6972"/>
                <w:sz w:val="12"/>
              </w:rPr>
              <w:t>i</w:t>
            </w:r>
            <w:r>
              <w:rPr>
                <w:rFonts w:ascii="Arial" w:hAnsi="Arial"/>
                <w:color w:val="545259"/>
                <w:sz w:val="12"/>
              </w:rPr>
              <w:t>cat</w:t>
            </w:r>
            <w:r>
              <w:rPr>
                <w:rFonts w:ascii="Arial" w:hAnsi="Arial"/>
                <w:color w:val="6E6972"/>
                <w:sz w:val="12"/>
              </w:rPr>
              <w:t>i</w:t>
            </w:r>
            <w:r>
              <w:rPr>
                <w:rFonts w:ascii="Arial" w:hAnsi="Arial"/>
                <w:color w:val="545259"/>
                <w:sz w:val="12"/>
              </w:rPr>
              <w:t>on stair</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43" w:after="283"/>
              <w:ind w:left="19" w:right="4" w:firstLine="19"/>
              <w:jc w:val="center"/>
              <w:rPr>
                <w:rFonts w:ascii="Arial" w:hAnsi="Arial"/>
                <w:b/>
                <w:color w:val="545259"/>
                <w:sz w:val="12"/>
              </w:rPr>
            </w:pPr>
            <w:r>
              <w:rPr>
                <w:rFonts w:ascii="Arial" w:hAnsi="Arial"/>
                <w:b/>
                <w:color w:val="545259"/>
                <w:sz w:val="12"/>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32"/>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pBdr/>
              <w:bidi w:val="0"/>
              <w:spacing w:before="0" w:after="283"/>
              <w:ind w:left="28" w:right="50" w:hanging="4"/>
              <w:jc w:val="left"/>
              <w:rPr>
                <w:rFonts w:ascii="Times New Roman" w:hAnsi="Times New Roman"/>
                <w:sz w:val="13"/>
              </w:rPr>
            </w:pPr>
            <w:r>
              <w:rPr>
                <w:rFonts w:ascii="Arial" w:hAnsi="Arial"/>
                <w:b/>
                <w:color w:val="3B383F"/>
                <w:sz w:val="13"/>
              </w:rPr>
              <w:t>Landlord to provide pa</w:t>
            </w:r>
            <w:r>
              <w:rPr>
                <w:rFonts w:ascii="Arial" w:hAnsi="Arial"/>
                <w:b/>
                <w:color w:val="545259"/>
                <w:sz w:val="13"/>
              </w:rPr>
              <w:t>i</w:t>
            </w:r>
            <w:r>
              <w:rPr>
                <w:rFonts w:ascii="Arial" w:hAnsi="Arial"/>
                <w:b/>
                <w:color w:val="3B383F"/>
                <w:sz w:val="13"/>
              </w:rPr>
              <w:t xml:space="preserve">nt and flooring at one (1) exit stair </w:t>
            </w:r>
            <w:r>
              <w:rPr>
                <w:rFonts w:ascii="Arial" w:hAnsi="Arial"/>
                <w:b/>
                <w:color w:val="545259"/>
                <w:sz w:val="13"/>
              </w:rPr>
              <w:t>a</w:t>
            </w:r>
            <w:r>
              <w:rPr>
                <w:rFonts w:ascii="Arial" w:hAnsi="Arial"/>
                <w:b/>
                <w:color w:val="3B383F"/>
                <w:sz w:val="13"/>
              </w:rPr>
              <w:t xml:space="preserve">t </w:t>
            </w:r>
            <w:r>
              <w:rPr>
                <w:rFonts w:ascii="Arial" w:hAnsi="Arial"/>
                <w:b/>
                <w:color w:val="545259"/>
                <w:sz w:val="13"/>
              </w:rPr>
              <w:t>t</w:t>
            </w:r>
            <w:r>
              <w:rPr>
                <w:rFonts w:ascii="Arial" w:hAnsi="Arial"/>
                <w:b/>
                <w:color w:val="3B383F"/>
                <w:sz w:val="13"/>
              </w:rPr>
              <w:t>enant f</w:t>
            </w:r>
            <w:r>
              <w:rPr>
                <w:rFonts w:ascii="Arial" w:hAnsi="Arial"/>
                <w:b/>
                <w:color w:val="545259"/>
                <w:sz w:val="13"/>
              </w:rPr>
              <w:t>l</w:t>
            </w:r>
            <w:r>
              <w:rPr>
                <w:rFonts w:ascii="Arial" w:hAnsi="Arial"/>
                <w:b/>
                <w:color w:val="3B383F"/>
                <w:sz w:val="13"/>
              </w:rPr>
              <w:t xml:space="preserve">oors to </w:t>
            </w:r>
            <w:r>
              <w:rPr>
                <w:rFonts w:ascii="Arial" w:hAnsi="Arial"/>
                <w:b/>
                <w:color w:val="545259"/>
                <w:sz w:val="13"/>
              </w:rPr>
              <w:t>a</w:t>
            </w:r>
            <w:r>
              <w:rPr>
                <w:rFonts w:ascii="Arial" w:hAnsi="Arial"/>
                <w:b/>
                <w:color w:val="3B383F"/>
                <w:sz w:val="13"/>
              </w:rPr>
              <w:t xml:space="preserve">ct </w:t>
            </w:r>
            <w:r>
              <w:rPr>
                <w:rFonts w:ascii="Arial" w:hAnsi="Arial"/>
                <w:b/>
                <w:color w:val="545259"/>
                <w:sz w:val="13"/>
              </w:rPr>
              <w:t xml:space="preserve">as </w:t>
            </w:r>
            <w:r>
              <w:rPr>
                <w:rFonts w:ascii="Arial" w:hAnsi="Arial"/>
                <w:b/>
                <w:color w:val="3B383F"/>
                <w:sz w:val="13"/>
              </w:rPr>
              <w:t xml:space="preserve">a </w:t>
            </w:r>
            <w:r>
              <w:rPr>
                <w:rFonts w:ascii="Arial" w:hAnsi="Arial"/>
                <w:b/>
                <w:color w:val="545259"/>
                <w:sz w:val="13"/>
              </w:rPr>
              <w:t>co</w:t>
            </w:r>
            <w:r>
              <w:rPr>
                <w:rFonts w:ascii="Arial" w:hAnsi="Arial"/>
                <w:b/>
                <w:color w:val="3B383F"/>
                <w:sz w:val="13"/>
              </w:rPr>
              <w:t>mmuni</w:t>
            </w:r>
            <w:r>
              <w:rPr>
                <w:rFonts w:ascii="Arial" w:hAnsi="Arial"/>
                <w:b/>
                <w:color w:val="545259"/>
                <w:sz w:val="13"/>
              </w:rPr>
              <w:t>ca</w:t>
            </w:r>
            <w:r>
              <w:rPr>
                <w:rFonts w:ascii="Arial" w:hAnsi="Arial"/>
                <w:b/>
                <w:color w:val="3B383F"/>
                <w:sz w:val="13"/>
              </w:rPr>
              <w:t>t</w:t>
            </w:r>
            <w:r>
              <w:rPr>
                <w:rFonts w:ascii="Arial" w:hAnsi="Arial"/>
                <w:b/>
                <w:color w:val="545259"/>
                <w:sz w:val="13"/>
              </w:rPr>
              <w:t>i</w:t>
            </w:r>
            <w:r>
              <w:rPr>
                <w:rFonts w:ascii="Arial" w:hAnsi="Arial"/>
                <w:b/>
                <w:color w:val="3B383F"/>
                <w:sz w:val="13"/>
              </w:rPr>
              <w:t>ng stair</w:t>
            </w:r>
            <w:r>
              <w:rPr>
                <w:rFonts w:ascii="Arial" w:hAnsi="Arial"/>
                <w:b/>
                <w:color w:val="545259"/>
                <w:sz w:val="13"/>
              </w:rPr>
              <w:t>.</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6"/>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29" w:after="283"/>
              <w:ind w:left="46" w:right="0" w:firstLine="46"/>
              <w:jc w:val="left"/>
              <w:rPr>
                <w:rFonts w:ascii="Times New Roman" w:hAnsi="Times New Roman"/>
                <w:sz w:val="12"/>
              </w:rPr>
            </w:pPr>
            <w:r>
              <w:rPr>
                <w:rFonts w:ascii="Arial" w:hAnsi="Arial"/>
                <w:color w:val="545259"/>
                <w:sz w:val="12"/>
              </w:rPr>
              <w:t>Vestibule at freight elevator</w:t>
            </w:r>
            <w:r>
              <w:rPr>
                <w:rFonts w:ascii="Arial" w:hAnsi="Arial"/>
                <w:color w:val="6E6972"/>
                <w:sz w:val="12"/>
              </w:rPr>
              <w:t>/</w:t>
            </w:r>
            <w:r>
              <w:rPr>
                <w:rFonts w:ascii="Arial" w:hAnsi="Arial"/>
                <w:color w:val="545259"/>
                <w:sz w:val="12"/>
              </w:rPr>
              <w:t>mechanica</w:t>
            </w:r>
            <w:r>
              <w:rPr>
                <w:rFonts w:ascii="Arial" w:hAnsi="Arial"/>
                <w:color w:val="5B5679"/>
                <w:sz w:val="12"/>
              </w:rPr>
              <w:t xml:space="preserve">l </w:t>
            </w:r>
            <w:r>
              <w:rPr>
                <w:rFonts w:ascii="Arial" w:hAnsi="Arial"/>
                <w:color w:val="545259"/>
                <w:sz w:val="12"/>
              </w:rPr>
              <w:t xml:space="preserve">spaces </w:t>
            </w:r>
            <w:r>
              <w:rPr>
                <w:rFonts w:ascii="Arial" w:hAnsi="Arial"/>
                <w:color w:val="6E6972"/>
                <w:sz w:val="12"/>
              </w:rPr>
              <w:t>i</w:t>
            </w:r>
            <w:r>
              <w:rPr>
                <w:rFonts w:ascii="Arial" w:hAnsi="Arial"/>
                <w:color w:val="545259"/>
                <w:sz w:val="12"/>
              </w:rPr>
              <w:t>ncluding electr</w:t>
            </w:r>
            <w:r>
              <w:rPr>
                <w:rFonts w:ascii="Arial" w:hAnsi="Arial"/>
                <w:color w:val="6E6972"/>
                <w:sz w:val="12"/>
              </w:rPr>
              <w:t>ifi</w:t>
            </w:r>
            <w:r>
              <w:rPr>
                <w:rFonts w:ascii="Arial" w:hAnsi="Arial"/>
                <w:color w:val="545259"/>
                <w:sz w:val="12"/>
              </w:rPr>
              <w:t xml:space="preserve">ed door </w:t>
            </w:r>
            <w:r>
              <w:rPr>
                <w:rFonts w:ascii="Arial" w:hAnsi="Arial"/>
                <w:color w:val="6E6972"/>
                <w:sz w:val="12"/>
              </w:rPr>
              <w:t>l</w:t>
            </w:r>
            <w:r>
              <w:rPr>
                <w:rFonts w:ascii="Arial" w:hAnsi="Arial"/>
                <w:color w:val="545259"/>
                <w:sz w:val="12"/>
              </w:rPr>
              <w:t>ock to</w:t>
            </w:r>
          </w:p>
          <w:p>
            <w:pPr>
              <w:pStyle w:val="TableContents"/>
              <w:bidi w:val="0"/>
              <w:spacing w:before="54" w:after="283"/>
              <w:ind w:left="39" w:right="0" w:firstLine="46"/>
              <w:jc w:val="left"/>
              <w:rPr>
                <w:rFonts w:ascii="Arial" w:hAnsi="Arial"/>
                <w:color w:val="545259"/>
                <w:sz w:val="12"/>
              </w:rPr>
            </w:pPr>
            <w:r>
              <w:rPr>
                <w:rFonts w:ascii="Arial" w:hAnsi="Arial"/>
                <w:color w:val="545259"/>
                <w:sz w:val="12"/>
              </w:rPr>
              <w:t>receive card reader</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20" w:after="283"/>
              <w:ind w:left="19" w:right="4" w:firstLine="19"/>
              <w:jc w:val="center"/>
              <w:rPr>
                <w:rFonts w:ascii="Arial" w:hAnsi="Arial"/>
                <w:b/>
                <w:color w:val="545259"/>
                <w:sz w:val="13"/>
              </w:rPr>
            </w:pPr>
            <w:r>
              <w:rPr>
                <w:rFonts w:ascii="Arial" w:hAnsi="Arial"/>
                <w:b/>
                <w:color w:val="545259"/>
                <w:sz w:val="13"/>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38"/>
              <w:jc w:val="left"/>
              <w:rPr/>
            </w:pPr>
            <w:r>
              <w:rPr/>
              <w:t> </w:t>
            </w:r>
          </w:p>
        </w:tc>
        <w:tc>
          <w:tcPr>
            <w:tcW w:w="9997" w:type="dxa"/>
            <w:gridSpan w:val="6"/>
            <w:tcBorders>
              <w:bottom w:val="single" w:sz="6" w:space="0" w:color="000000"/>
            </w:tcBorders>
            <w:tcMar>
              <w:top w:w="0" w:type="dxa"/>
              <w:left w:w="0" w:type="dxa"/>
              <w:right w:w="0" w:type="dxa"/>
            </w:tcMar>
            <w:vAlign w:val="center"/>
          </w:tcPr>
          <w:p>
            <w:pPr>
              <w:pStyle w:val="TableContents"/>
              <w:bidi w:val="0"/>
              <w:spacing w:before="43" w:after="283"/>
              <w:ind w:left="38" w:right="0" w:firstLine="38"/>
              <w:jc w:val="left"/>
              <w:rPr>
                <w:rFonts w:ascii="Arial" w:hAnsi="Arial"/>
                <w:b/>
                <w:color w:val="3B383F"/>
                <w:sz w:val="12"/>
              </w:rPr>
            </w:pPr>
            <w:r>
              <w:rPr>
                <w:rFonts w:ascii="Arial" w:hAnsi="Arial"/>
                <w:b/>
                <w:color w:val="3B383F"/>
                <w:sz w:val="12"/>
              </w:rPr>
              <w:t>ELEVATORS</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0"/>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38" w:after="283"/>
              <w:ind w:left="40" w:right="0" w:firstLine="40"/>
              <w:jc w:val="left"/>
              <w:rPr>
                <w:rFonts w:ascii="Times New Roman" w:hAnsi="Times New Roman"/>
                <w:sz w:val="12"/>
              </w:rPr>
            </w:pPr>
            <w:r>
              <w:rPr>
                <w:rFonts w:ascii="Arial" w:hAnsi="Arial"/>
                <w:color w:val="545259"/>
                <w:sz w:val="12"/>
              </w:rPr>
              <w:t xml:space="preserve">Garage passenger elevator serving garage </w:t>
            </w:r>
            <w:r>
              <w:rPr>
                <w:rFonts w:ascii="Arial" w:hAnsi="Arial"/>
                <w:color w:val="6E6972"/>
                <w:sz w:val="12"/>
              </w:rPr>
              <w:t>l</w:t>
            </w:r>
            <w:r>
              <w:rPr>
                <w:rFonts w:ascii="Arial" w:hAnsi="Arial"/>
                <w:color w:val="545259"/>
                <w:sz w:val="12"/>
              </w:rPr>
              <w:t>evels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8" w:after="283"/>
              <w:ind w:left="19" w:right="4" w:firstLine="19"/>
              <w:jc w:val="center"/>
              <w:rPr>
                <w:rFonts w:ascii="Arial" w:hAnsi="Arial"/>
                <w:b/>
                <w:color w:val="545259"/>
                <w:sz w:val="12"/>
              </w:rPr>
            </w:pPr>
            <w:r>
              <w:rPr>
                <w:rFonts w:ascii="Arial" w:hAnsi="Arial"/>
                <w:b/>
                <w:color w:val="545259"/>
                <w:sz w:val="12"/>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1"/>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43" w:after="283"/>
              <w:ind w:left="41" w:right="0" w:firstLine="41"/>
              <w:jc w:val="left"/>
              <w:rPr>
                <w:rFonts w:ascii="Arial" w:hAnsi="Arial"/>
                <w:color w:val="545259"/>
                <w:sz w:val="12"/>
              </w:rPr>
            </w:pPr>
            <w:r>
              <w:rPr>
                <w:rFonts w:ascii="Arial" w:hAnsi="Arial"/>
                <w:color w:val="545259"/>
                <w:sz w:val="12"/>
              </w:rPr>
              <w:t>Office tower pas.senger elevators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4" w:after="283"/>
              <w:ind w:left="19" w:right="0" w:firstLine="19"/>
              <w:jc w:val="center"/>
              <w:rPr>
                <w:rFonts w:ascii="Arial" w:hAnsi="Arial"/>
                <w:b/>
                <w:color w:val="545259"/>
                <w:sz w:val="13"/>
              </w:rPr>
            </w:pPr>
            <w:r>
              <w:rPr>
                <w:rFonts w:ascii="Arial" w:hAnsi="Arial"/>
                <w:b/>
                <w:color w:val="545259"/>
                <w:sz w:val="13"/>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43" w:after="283"/>
              <w:ind w:left="43" w:right="0" w:firstLine="43"/>
              <w:jc w:val="left"/>
              <w:rPr>
                <w:rFonts w:ascii="Arial" w:hAnsi="Arial"/>
                <w:color w:val="545259"/>
                <w:sz w:val="12"/>
              </w:rPr>
            </w:pPr>
            <w:r>
              <w:rPr>
                <w:rFonts w:ascii="Arial" w:hAnsi="Arial"/>
                <w:color w:val="545259"/>
                <w:sz w:val="12"/>
              </w:rPr>
              <w:t>Building common fire extinguishers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43" w:after="283"/>
              <w:ind w:left="19" w:right="4" w:firstLine="19"/>
              <w:jc w:val="center"/>
              <w:rPr>
                <w:rFonts w:ascii="Arial" w:hAnsi="Arial"/>
                <w:b/>
                <w:color w:val="545259"/>
                <w:sz w:val="12"/>
              </w:rPr>
            </w:pPr>
            <w:r>
              <w:rPr>
                <w:rFonts w:ascii="Arial" w:hAnsi="Arial"/>
                <w:b/>
                <w:color w:val="545259"/>
                <w:sz w:val="12"/>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39"/>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43" w:after="283"/>
              <w:ind w:left="0" w:right="0" w:firstLine="24"/>
              <w:jc w:val="left"/>
              <w:rPr>
                <w:rFonts w:ascii="Arial" w:hAnsi="Arial"/>
                <w:color w:val="545259"/>
                <w:sz w:val="12"/>
              </w:rPr>
            </w:pPr>
            <w:r>
              <w:rPr>
                <w:rFonts w:ascii="Arial" w:hAnsi="Arial"/>
                <w:color w:val="545259"/>
                <w:sz w:val="12"/>
              </w:rPr>
              <w:t>Tenant fire extinguishers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34" w:after="283"/>
              <w:ind w:left="24" w:right="0" w:firstLine="24"/>
              <w:jc w:val="center"/>
              <w:rPr>
                <w:rFonts w:ascii="Arial" w:hAnsi="Arial"/>
                <w:b/>
                <w:color w:val="545259"/>
                <w:sz w:val="13"/>
              </w:rPr>
            </w:pPr>
            <w:r>
              <w:rPr>
                <w:rFonts w:ascii="Arial" w:hAnsi="Arial"/>
                <w:b/>
                <w:color w:val="545259"/>
                <w:sz w:val="13"/>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3"/>
              <w:jc w:val="left"/>
              <w:rPr/>
            </w:pPr>
            <w:r>
              <w:rPr/>
              <w:t> </w:t>
            </w:r>
          </w:p>
        </w:tc>
        <w:tc>
          <w:tcPr>
            <w:tcW w:w="3702" w:type="dxa"/>
            <w:tcBorders>
              <w:bottom w:val="single" w:sz="6" w:space="0" w:color="000000"/>
              <w:right w:val="single" w:sz="4" w:space="0" w:color="000000"/>
            </w:tcBorders>
            <w:tcMar>
              <w:top w:w="0" w:type="dxa"/>
              <w:left w:w="0" w:type="dxa"/>
            </w:tcMar>
            <w:vAlign w:val="center"/>
          </w:tcPr>
          <w:p>
            <w:pPr>
              <w:pStyle w:val="TableContents"/>
              <w:bidi w:val="0"/>
              <w:spacing w:before="47" w:after="283"/>
              <w:ind w:left="0" w:right="0" w:firstLine="44"/>
              <w:jc w:val="left"/>
              <w:rPr>
                <w:rFonts w:ascii="Times New Roman" w:hAnsi="Times New Roman"/>
                <w:sz w:val="8"/>
              </w:rPr>
            </w:pPr>
            <w:r>
              <w:rPr>
                <w:rFonts w:ascii="Arial" w:hAnsi="Arial"/>
                <w:b/>
                <w:color w:val="545259"/>
                <w:sz w:val="8"/>
              </w:rPr>
              <w:t xml:space="preserve">ITPn;1nt </w:t>
            </w:r>
            <w:r>
              <w:rPr>
                <w:rFonts w:ascii="Arial" w:hAnsi="Arial"/>
                <w:b/>
                <w:color w:val="545259"/>
                <w:sz w:val="7"/>
              </w:rPr>
              <w:t>an1</w:t>
            </w:r>
            <w:r>
              <w:rPr>
                <w:rFonts w:ascii="Arial" w:hAnsi="Arial"/>
                <w:b/>
                <w:color w:val="6E6972"/>
                <w:sz w:val="7"/>
              </w:rPr>
              <w:t>!</w:t>
            </w:r>
            <w:r>
              <w:rPr>
                <w:rFonts w:ascii="Arial" w:hAnsi="Arial"/>
                <w:b/>
                <w:color w:val="545259"/>
                <w:sz w:val="7"/>
              </w:rPr>
              <w:t>----</w:t>
            </w:r>
          </w:p>
        </w:tc>
        <w:tc>
          <w:tcPr>
            <w:tcW w:w="526" w:type="dxa"/>
            <w:gridSpan w:val="2"/>
            <w:tcBorders>
              <w:right w:val="single" w:sz="2" w:space="0" w:color="000000"/>
            </w:tcBorders>
            <w:tcMar>
              <w:top w:w="0" w:type="dxa"/>
              <w:left w:w="0" w:type="dxa"/>
              <w:bottom w:w="0" w:type="dxa"/>
            </w:tcMar>
            <w:vAlign w:val="center"/>
          </w:tcPr>
          <w:p>
            <w:pPr>
              <w:pStyle w:val="TableContents"/>
              <w:bidi w:val="0"/>
              <w:spacing w:before="38" w:after="283"/>
              <w:ind w:left="44" w:right="28" w:firstLine="44"/>
              <w:jc w:val="center"/>
              <w:rPr>
                <w:rFonts w:ascii="Arial" w:hAnsi="Arial"/>
                <w:b/>
                <w:color w:val="545259"/>
                <w:sz w:val="11"/>
              </w:rPr>
            </w:pPr>
            <w:r>
              <w:rPr>
                <w:rFonts w:ascii="Arial" w:hAnsi="Arial"/>
                <w:b/>
                <w:color w:val="545259"/>
                <w:sz w:val="11"/>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4135" w:type="dxa"/>
            <w:gridSpan w:val="3"/>
            <w:tcBorders>
              <w:left w:val="single" w:sz="6"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30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12"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154" w:after="283"/>
              <w:jc w:val="left"/>
              <w:rPr/>
            </w:pPr>
            <w:r>
              <w:rPr/>
              <w:t> </w:t>
            </w:r>
          </w:p>
          <w:p>
            <w:pPr>
              <w:pStyle w:val="TableContents"/>
              <w:bidi w:val="0"/>
              <w:spacing w:before="0" w:after="283"/>
              <w:ind w:left="11" w:right="0" w:hanging="0"/>
              <w:jc w:val="center"/>
              <w:rPr>
                <w:rFonts w:ascii="Arial" w:hAnsi="Arial"/>
                <w:color w:val="545259"/>
                <w:sz w:val="18"/>
              </w:rPr>
            </w:pPr>
            <w:r>
              <w:rPr>
                <w:rFonts w:ascii="Arial" w:hAnsi="Arial"/>
                <w:color w:val="545259"/>
                <w:sz w:val="18"/>
              </w:rPr>
              <w:t>.,..</w:t>
            </w:r>
          </w:p>
        </w:tc>
        <w:tc>
          <w:tcPr>
            <w:tcW w:w="677"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46" w:type="dxa"/>
            <w:tcBorders>
              <w:bottom w:val="single" w:sz="1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jc w:val="left"/>
              <w:rPr/>
            </w:pPr>
            <w:r>
              <w:rPr/>
              <w:t> </w:t>
            </w:r>
          </w:p>
        </w:tc>
        <w:tc>
          <w:tcPr>
            <w:tcW w:w="3702" w:type="dxa"/>
            <w:tcBorders>
              <w:bottom w:val="single" w:sz="6" w:space="0" w:color="000000"/>
              <w:right w:val="single" w:sz="4" w:space="0" w:color="000000"/>
            </w:tcBorders>
            <w:tcMar>
              <w:top w:w="0" w:type="dxa"/>
              <w:left w:w="0" w:type="dxa"/>
            </w:tcMar>
            <w:vAlign w:val="center"/>
          </w:tcPr>
          <w:p>
            <w:pPr>
              <w:pStyle w:val="TableContents"/>
              <w:bidi w:val="0"/>
              <w:jc w:val="left"/>
              <w:rPr>
                <w:rFonts w:ascii="Times New Roman" w:hAnsi="Times New Roman"/>
                <w:sz w:val="8"/>
              </w:rPr>
            </w:pPr>
            <w:r>
              <w:rPr>
                <w:rFonts w:ascii="Times New Roman" w:hAnsi="Times New Roman"/>
                <w:b/>
                <w:color w:val="545259"/>
                <w:sz w:val="8"/>
              </w:rPr>
              <w:t>IJ</w:t>
            </w:r>
            <w:r>
              <w:rPr>
                <w:rFonts w:ascii="Times New Roman" w:hAnsi="Times New Roman"/>
                <w:b/>
                <w:color w:val="6E6972"/>
                <w:sz w:val="8"/>
              </w:rPr>
              <w:t>"</w:t>
            </w:r>
            <w:r>
              <w:rPr>
                <w:rFonts w:ascii="Times New Roman" w:hAnsi="Times New Roman"/>
                <w:b/>
                <w:color w:val="545259"/>
                <w:sz w:val="8"/>
              </w:rPr>
              <w:t xml:space="preserve">U'U/ll.t: </w:t>
            </w:r>
            <w:r>
              <w:rPr>
                <w:rFonts w:ascii="Times New Roman" w:hAnsi="Times New Roman"/>
                <w:b/>
                <w:color w:val="6E6972"/>
                <w:sz w:val="8"/>
              </w:rPr>
              <w:t>.</w:t>
            </w:r>
            <w:r>
              <w:rPr>
                <w:rFonts w:ascii="Times New Roman" w:hAnsi="Times New Roman"/>
                <w:b/>
                <w:color w:val="545259"/>
                <w:sz w:val="8"/>
              </w:rPr>
              <w:t xml:space="preserve">..... </w:t>
            </w:r>
            <w:r>
              <w:rPr>
                <w:rFonts w:ascii="Times New Roman" w:hAnsi="Times New Roman"/>
                <w:b/>
                <w:color w:val="5B5679"/>
                <w:sz w:val="8"/>
              </w:rPr>
              <w:t>,</w:t>
            </w:r>
            <w:r>
              <w:rPr>
                <w:rFonts w:ascii="Times New Roman" w:hAnsi="Times New Roman"/>
                <w:b/>
                <w:color w:val="545259"/>
                <w:sz w:val="8"/>
              </w:rPr>
              <w:t>.... ,15 ,15 UII</w:t>
            </w:r>
          </w:p>
          <w:p>
            <w:pPr>
              <w:pStyle w:val="TableContents"/>
              <w:bidi w:val="0"/>
              <w:spacing w:before="0" w:after="283"/>
              <w:ind w:left="0" w:right="0" w:firstLine="38"/>
              <w:jc w:val="left"/>
              <w:rPr>
                <w:rFonts w:ascii="Times New Roman" w:hAnsi="Times New Roman"/>
                <w:color w:val="545259"/>
                <w:sz w:val="8"/>
              </w:rPr>
            </w:pPr>
            <w:r>
              <w:rPr>
                <w:rFonts w:ascii="Times New Roman" w:hAnsi="Times New Roman"/>
                <w:color w:val="545259"/>
                <w:sz w:val="8"/>
              </w:rPr>
              <w:t>. ,</w:t>
            </w:r>
          </w:p>
        </w:tc>
        <w:tc>
          <w:tcPr>
            <w:tcW w:w="526" w:type="dxa"/>
            <w:gridSpan w:val="2"/>
            <w:tcBorders>
              <w:bottom w:val="single" w:sz="6" w:space="0" w:color="000000"/>
              <w:right w:val="single" w:sz="4" w:space="0" w:color="000000"/>
            </w:tcBorders>
            <w:tcMar>
              <w:top w:w="0" w:type="dxa"/>
              <w:left w:w="0" w:type="dxa"/>
            </w:tcMar>
            <w:vAlign w:val="center"/>
          </w:tcPr>
          <w:p>
            <w:pPr>
              <w:pStyle w:val="TableContents"/>
              <w:bidi w:val="0"/>
              <w:ind w:left="38" w:right="0" w:firstLine="38"/>
              <w:jc w:val="left"/>
              <w:rPr>
                <w:rFonts w:ascii="Arial" w:hAnsi="Arial"/>
                <w:color w:val="545259"/>
                <w:sz w:val="11"/>
              </w:rPr>
            </w:pPr>
            <w:r>
              <w:rPr>
                <w:rFonts w:ascii="Arial" w:hAnsi="Arial"/>
                <w:color w:val="545259"/>
                <w:sz w:val="11"/>
              </w:rPr>
              <w:t>I</w:t>
            </w:r>
          </w:p>
          <w:p>
            <w:pPr>
              <w:pStyle w:val="TableContents"/>
              <w:bidi w:val="0"/>
              <w:ind w:left="44" w:right="0" w:firstLine="38"/>
              <w:jc w:val="center"/>
              <w:rPr>
                <w:rFonts w:ascii="Arial" w:hAnsi="Arial"/>
                <w:color w:val="545259"/>
                <w:sz w:val="20"/>
              </w:rPr>
            </w:pPr>
            <w:r>
              <w:rPr>
                <w:rFonts w:ascii="Arial" w:hAnsi="Arial"/>
                <w:color w:val="545259"/>
                <w:sz w:val="20"/>
              </w:rPr>
              <w:t>"</w:t>
            </w:r>
          </w:p>
          <w:p>
            <w:pPr>
              <w:pStyle w:val="TableContents"/>
              <w:bidi w:val="0"/>
              <w:spacing w:before="0" w:after="283"/>
              <w:ind w:left="0" w:right="2" w:firstLine="38"/>
              <w:jc w:val="right"/>
              <w:rPr>
                <w:rFonts w:ascii="Arial" w:hAnsi="Arial"/>
                <w:color w:val="545259"/>
                <w:sz w:val="11"/>
              </w:rPr>
            </w:pPr>
            <w:r>
              <w:rPr>
                <w:rFonts w:ascii="Arial" w:hAnsi="Arial"/>
                <w:color w:val="545259"/>
                <w:sz w:val="11"/>
              </w:rPr>
              <w:t>I</w:t>
            </w:r>
          </w:p>
        </w:tc>
        <w:tc>
          <w:tcPr>
            <w:tcW w:w="74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38" w:after="283"/>
              <w:ind w:left="42" w:right="0" w:firstLine="42"/>
              <w:jc w:val="left"/>
              <w:rPr>
                <w:rFonts w:ascii="Times New Roman" w:hAnsi="Times New Roman"/>
                <w:sz w:val="12"/>
              </w:rPr>
            </w:pPr>
            <w:r>
              <w:rPr>
                <w:rFonts w:ascii="Arial" w:hAnsi="Arial"/>
                <w:color w:val="545259"/>
                <w:sz w:val="12"/>
              </w:rPr>
              <w:t xml:space="preserve">Patio </w:t>
            </w:r>
            <w:r>
              <w:rPr>
                <w:rFonts w:ascii="Arial" w:hAnsi="Arial"/>
                <w:color w:val="6E6972"/>
                <w:sz w:val="12"/>
              </w:rPr>
              <w:t xml:space="preserve">- </w:t>
            </w:r>
            <w:r>
              <w:rPr>
                <w:rFonts w:ascii="Arial" w:hAnsi="Arial"/>
                <w:color w:val="545259"/>
                <w:sz w:val="12"/>
              </w:rPr>
              <w:t>Exterior lighting, pavers</w:t>
            </w:r>
            <w:r>
              <w:rPr>
                <w:rFonts w:ascii="Arial" w:hAnsi="Arial"/>
                <w:color w:val="6E6972"/>
                <w:sz w:val="12"/>
              </w:rPr>
              <w:t xml:space="preserve">, </w:t>
            </w:r>
            <w:r>
              <w:rPr>
                <w:rFonts w:ascii="Arial" w:hAnsi="Arial"/>
                <w:color w:val="545259"/>
                <w:sz w:val="12"/>
              </w:rPr>
              <w:t>convenience power outlets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746" w:type="dxa"/>
            <w:tcBorders>
              <w:bottom w:val="single" w:sz="6"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4" w:space="0" w:color="000000"/>
            </w:tcBorders>
            <w:tcMar>
              <w:top w:w="0" w:type="dxa"/>
              <w:left w:w="0" w:type="dxa"/>
            </w:tcMar>
            <w:vAlign w:val="center"/>
          </w:tcPr>
          <w:p>
            <w:pPr>
              <w:pStyle w:val="TableContents"/>
              <w:bidi w:val="0"/>
              <w:spacing w:before="0" w:after="283"/>
              <w:ind w:left="0" w:right="0" w:firstLine="29"/>
              <w:jc w:val="left"/>
              <w:rPr/>
            </w:pPr>
            <w:r>
              <w:rPr/>
              <w:t> </w:t>
            </w:r>
          </w:p>
        </w:tc>
        <w:tc>
          <w:tcPr>
            <w:tcW w:w="4346" w:type="dxa"/>
            <w:tcBorders>
              <w:bottom w:val="single" w:sz="6" w:space="0" w:color="000000"/>
              <w:right w:val="single" w:sz="4" w:space="0" w:color="000000"/>
            </w:tcBorders>
            <w:tcMar>
              <w:top w:w="0" w:type="dxa"/>
              <w:left w:w="0" w:type="dxa"/>
            </w:tcMar>
            <w:vAlign w:val="center"/>
          </w:tcPr>
          <w:p>
            <w:pPr>
              <w:pStyle w:val="TableContents"/>
              <w:bidi w:val="0"/>
              <w:spacing w:before="34" w:after="283"/>
              <w:ind w:left="29" w:right="0" w:firstLine="29"/>
              <w:jc w:val="left"/>
              <w:rPr>
                <w:rFonts w:ascii="Arial" w:hAnsi="Arial"/>
                <w:b/>
                <w:color w:val="545259"/>
                <w:sz w:val="13"/>
              </w:rPr>
            </w:pPr>
            <w:r>
              <w:rPr>
                <w:rFonts w:ascii="Arial" w:hAnsi="Arial"/>
                <w:b/>
                <w:color w:val="545259"/>
                <w:sz w:val="13"/>
              </w:rPr>
              <w:t>No</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37"/>
              <w:jc w:val="left"/>
              <w:rPr/>
            </w:pPr>
            <w:r>
              <w:rPr/>
              <w:t> </w:t>
            </w:r>
          </w:p>
        </w:tc>
        <w:tc>
          <w:tcPr>
            <w:tcW w:w="9997" w:type="dxa"/>
            <w:gridSpan w:val="6"/>
            <w:tcBorders>
              <w:bottom w:val="single" w:sz="6" w:space="0" w:color="000000"/>
            </w:tcBorders>
            <w:tcMar>
              <w:top w:w="0" w:type="dxa"/>
              <w:left w:w="0" w:type="dxa"/>
              <w:right w:w="0" w:type="dxa"/>
            </w:tcMar>
            <w:vAlign w:val="center"/>
          </w:tcPr>
          <w:p>
            <w:pPr>
              <w:pStyle w:val="TableContents"/>
              <w:bidi w:val="0"/>
              <w:spacing w:before="24" w:after="283"/>
              <w:ind w:left="37" w:right="0" w:firstLine="37"/>
              <w:jc w:val="left"/>
              <w:rPr>
                <w:rFonts w:ascii="Arial" w:hAnsi="Arial"/>
                <w:b/>
                <w:color w:val="262628"/>
                <w:sz w:val="13"/>
              </w:rPr>
            </w:pPr>
            <w:r>
              <w:rPr>
                <w:rFonts w:ascii="Arial" w:hAnsi="Arial"/>
                <w:b/>
                <w:color w:val="262628"/>
                <w:sz w:val="13"/>
              </w:rPr>
              <w:t>PLUMBING</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24" w:after="283"/>
              <w:ind w:left="42" w:right="0" w:firstLine="42"/>
              <w:jc w:val="left"/>
              <w:rPr>
                <w:rFonts w:ascii="Times New Roman" w:hAnsi="Times New Roman"/>
                <w:sz w:val="13"/>
              </w:rPr>
            </w:pPr>
            <w:r>
              <w:rPr>
                <w:rFonts w:ascii="Arial" w:hAnsi="Arial"/>
                <w:color w:val="545259"/>
                <w:sz w:val="12"/>
              </w:rPr>
              <w:t>Underground ut</w:t>
            </w:r>
            <w:r>
              <w:rPr>
                <w:rFonts w:ascii="Arial" w:hAnsi="Arial"/>
                <w:color w:val="6E6972"/>
                <w:sz w:val="12"/>
              </w:rPr>
              <w:t>ili</w:t>
            </w:r>
            <w:r>
              <w:rPr>
                <w:rFonts w:ascii="Arial" w:hAnsi="Arial"/>
                <w:color w:val="545259"/>
                <w:sz w:val="12"/>
              </w:rPr>
              <w:t>ty p</w:t>
            </w:r>
            <w:r>
              <w:rPr>
                <w:rFonts w:ascii="Arial" w:hAnsi="Arial"/>
                <w:color w:val="6E6972"/>
                <w:sz w:val="12"/>
              </w:rPr>
              <w:t>i</w:t>
            </w:r>
            <w:r>
              <w:rPr>
                <w:rFonts w:ascii="Arial" w:hAnsi="Arial"/>
                <w:color w:val="545259"/>
                <w:sz w:val="12"/>
              </w:rPr>
              <w:t>ping (water</w:t>
            </w:r>
            <w:r>
              <w:rPr>
                <w:rFonts w:ascii="Arial" w:hAnsi="Arial"/>
                <w:color w:val="6E6972"/>
                <w:sz w:val="12"/>
              </w:rPr>
              <w:t xml:space="preserve">, </w:t>
            </w:r>
            <w:r>
              <w:rPr>
                <w:rFonts w:ascii="Arial" w:hAnsi="Arial"/>
                <w:color w:val="545259"/>
                <w:sz w:val="12"/>
              </w:rPr>
              <w:t>waste</w:t>
            </w:r>
            <w:r>
              <w:rPr>
                <w:rFonts w:ascii="Arial" w:hAnsi="Arial"/>
                <w:color w:val="6E6972"/>
                <w:sz w:val="12"/>
              </w:rPr>
              <w:t xml:space="preserve">, </w:t>
            </w:r>
            <w:r>
              <w:rPr>
                <w:rFonts w:ascii="Arial" w:hAnsi="Arial"/>
                <w:b/>
                <w:color w:val="545259"/>
                <w:sz w:val="13"/>
              </w:rPr>
              <w:t xml:space="preserve">gas) </w:t>
            </w:r>
            <w:r>
              <w:rPr>
                <w:rFonts w:ascii="Arial" w:hAnsi="Arial"/>
                <w:color w:val="545259"/>
                <w:sz w:val="12"/>
              </w:rPr>
              <w:t>to main service points and base</w:t>
            </w:r>
          </w:p>
          <w:p>
            <w:pPr>
              <w:pStyle w:val="TableContents"/>
              <w:bidi w:val="0"/>
              <w:spacing w:before="52" w:after="283"/>
              <w:ind w:left="39" w:right="0" w:firstLine="42"/>
              <w:jc w:val="left"/>
              <w:rPr>
                <w:rFonts w:ascii="Arial" w:hAnsi="Arial"/>
                <w:color w:val="545259"/>
                <w:sz w:val="12"/>
              </w:rPr>
            </w:pPr>
            <w:r>
              <w:rPr>
                <w:rFonts w:ascii="Arial" w:hAnsi="Arial"/>
                <w:color w:val="545259"/>
                <w:sz w:val="12"/>
              </w:rPr>
              <w:t>building equipment</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24" w:after="283"/>
              <w:ind w:left="19" w:right="4" w:firstLine="19"/>
              <w:jc w:val="center"/>
              <w:rPr>
                <w:rFonts w:ascii="Arial" w:hAnsi="Arial"/>
                <w:b/>
                <w:color w:val="545259"/>
                <w:sz w:val="13"/>
              </w:rPr>
            </w:pPr>
            <w:r>
              <w:rPr>
                <w:rFonts w:ascii="Arial" w:hAnsi="Arial"/>
                <w:b/>
                <w:color w:val="545259"/>
                <w:sz w:val="13"/>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42" w:right="0" w:firstLine="42"/>
              <w:jc w:val="left"/>
              <w:rPr>
                <w:rFonts w:ascii="Times New Roman" w:hAnsi="Times New Roman"/>
                <w:sz w:val="12"/>
              </w:rPr>
            </w:pPr>
            <w:r>
              <w:rPr>
                <w:rFonts w:ascii="Arial" w:hAnsi="Arial"/>
                <w:color w:val="545259"/>
                <w:sz w:val="12"/>
              </w:rPr>
              <w:t>Domestic water to base bu</w:t>
            </w:r>
            <w:r>
              <w:rPr>
                <w:rFonts w:ascii="Arial" w:hAnsi="Arial"/>
                <w:color w:val="5B5679"/>
                <w:sz w:val="12"/>
              </w:rPr>
              <w:t>il</w:t>
            </w:r>
            <w:r>
              <w:rPr>
                <w:rFonts w:ascii="Arial" w:hAnsi="Arial"/>
                <w:color w:val="545259"/>
                <w:sz w:val="12"/>
              </w:rPr>
              <w:t>d</w:t>
            </w:r>
            <w:r>
              <w:rPr>
                <w:rFonts w:ascii="Arial" w:hAnsi="Arial"/>
                <w:color w:val="6E6972"/>
                <w:sz w:val="12"/>
              </w:rPr>
              <w:t>i</w:t>
            </w:r>
            <w:r>
              <w:rPr>
                <w:rFonts w:ascii="Arial" w:hAnsi="Arial"/>
                <w:color w:val="545259"/>
                <w:sz w:val="12"/>
              </w:rPr>
              <w:t xml:space="preserve">ng </w:t>
            </w:r>
            <w:r>
              <w:rPr>
                <w:rFonts w:ascii="Arial" w:hAnsi="Arial"/>
                <w:color w:val="6E6972"/>
                <w:sz w:val="12"/>
              </w:rPr>
              <w:t>fi</w:t>
            </w:r>
            <w:r>
              <w:rPr>
                <w:rFonts w:ascii="Arial" w:hAnsi="Arial"/>
                <w:color w:val="545259"/>
                <w:sz w:val="12"/>
              </w:rPr>
              <w:t>xtures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19" w:right="4" w:firstLine="19"/>
              <w:jc w:val="center"/>
              <w:rPr>
                <w:rFonts w:ascii="Arial" w:hAnsi="Arial"/>
                <w:color w:val="545259"/>
                <w:sz w:val="12"/>
              </w:rPr>
            </w:pPr>
            <w:r>
              <w:rPr>
                <w:rFonts w:ascii="Arial" w:hAnsi="Arial"/>
                <w:color w:val="545259"/>
                <w:sz w:val="12"/>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42" w:right="0" w:firstLine="42"/>
              <w:jc w:val="left"/>
              <w:rPr>
                <w:rFonts w:ascii="Times New Roman" w:hAnsi="Times New Roman"/>
                <w:sz w:val="12"/>
              </w:rPr>
            </w:pPr>
            <w:r>
              <w:rPr>
                <w:rFonts w:ascii="Arial" w:hAnsi="Arial"/>
                <w:color w:val="545259"/>
                <w:sz w:val="12"/>
              </w:rPr>
              <w:t xml:space="preserve">HW generation for base building toilet </w:t>
            </w:r>
            <w:r>
              <w:rPr>
                <w:rFonts w:ascii="Arial" w:hAnsi="Arial"/>
                <w:color w:val="5B5679"/>
                <w:sz w:val="12"/>
              </w:rPr>
              <w:t>rooms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19" w:right="0" w:firstLine="19"/>
              <w:jc w:val="center"/>
              <w:rPr>
                <w:rFonts w:ascii="Arial" w:hAnsi="Arial"/>
                <w:color w:val="545259"/>
                <w:sz w:val="12"/>
              </w:rPr>
            </w:pPr>
            <w:r>
              <w:rPr>
                <w:rFonts w:ascii="Arial" w:hAnsi="Arial"/>
                <w:color w:val="545259"/>
                <w:sz w:val="12"/>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3"/>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43" w:right="0" w:firstLine="43"/>
              <w:jc w:val="left"/>
              <w:rPr>
                <w:rFonts w:ascii="Times New Roman" w:hAnsi="Times New Roman"/>
                <w:sz w:val="12"/>
              </w:rPr>
            </w:pPr>
            <w:r>
              <w:rPr>
                <w:rFonts w:ascii="Arial" w:hAnsi="Arial"/>
                <w:color w:val="545259"/>
                <w:sz w:val="12"/>
              </w:rPr>
              <w:t>2" domestic co</w:t>
            </w:r>
            <w:r>
              <w:rPr>
                <w:rFonts w:ascii="Arial" w:hAnsi="Arial"/>
                <w:color w:val="6E6972"/>
                <w:sz w:val="12"/>
              </w:rPr>
              <w:t>l</w:t>
            </w:r>
            <w:r>
              <w:rPr>
                <w:rFonts w:ascii="Arial" w:hAnsi="Arial"/>
                <w:color w:val="545259"/>
                <w:sz w:val="12"/>
              </w:rPr>
              <w:t xml:space="preserve">d water stubbed into Tenant area and capped for Tenant </w:t>
            </w:r>
            <w:r>
              <w:rPr>
                <w:rFonts w:ascii="Arial" w:hAnsi="Arial"/>
                <w:color w:val="5B5679"/>
                <w:sz w:val="12"/>
              </w:rPr>
              <w:t>use</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3" w:after="283"/>
              <w:ind w:left="19" w:right="4" w:firstLine="19"/>
              <w:jc w:val="center"/>
              <w:rPr>
                <w:rFonts w:ascii="Arial" w:hAnsi="Arial"/>
                <w:color w:val="545259"/>
                <w:sz w:val="12"/>
              </w:rPr>
            </w:pPr>
            <w:r>
              <w:rPr>
                <w:rFonts w:ascii="Arial" w:hAnsi="Arial"/>
                <w:color w:val="545259"/>
                <w:sz w:val="12"/>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2"/>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43" w:after="283"/>
              <w:ind w:left="0" w:right="0" w:firstLine="24"/>
              <w:jc w:val="left"/>
              <w:rPr>
                <w:rFonts w:ascii="Times New Roman" w:hAnsi="Times New Roman"/>
                <w:sz w:val="12"/>
              </w:rPr>
            </w:pPr>
            <w:r>
              <w:rPr>
                <w:rFonts w:ascii="Arial" w:hAnsi="Arial"/>
                <w:color w:val="545259"/>
                <w:sz w:val="12"/>
              </w:rPr>
              <w:t>Domest</w:t>
            </w:r>
            <w:r>
              <w:rPr>
                <w:rFonts w:ascii="Arial" w:hAnsi="Arial"/>
                <w:color w:val="6E6972"/>
                <w:sz w:val="12"/>
              </w:rPr>
              <w:t>i</w:t>
            </w:r>
            <w:r>
              <w:rPr>
                <w:rFonts w:ascii="Arial" w:hAnsi="Arial"/>
                <w:color w:val="545259"/>
                <w:sz w:val="12"/>
              </w:rPr>
              <w:t>c water distribution within Tenant premises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43" w:after="283"/>
              <w:ind w:left="24" w:right="0" w:firstLine="24"/>
              <w:jc w:val="center"/>
              <w:rPr>
                <w:rFonts w:ascii="Arial" w:hAnsi="Arial"/>
                <w:b/>
                <w:color w:val="545259"/>
                <w:sz w:val="12"/>
              </w:rPr>
            </w:pPr>
            <w:r>
              <w:rPr>
                <w:rFonts w:ascii="Arial" w:hAnsi="Arial"/>
                <w:b/>
                <w:color w:val="545259"/>
                <w:sz w:val="12"/>
              </w:rPr>
              <w:t>X</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r>
        <w:trPr/>
        <w:tc>
          <w:tcPr>
            <w:tcW w:w="208" w:type="dxa"/>
            <w:tcBorders>
              <w:right w:val="single" w:sz="6" w:space="0" w:color="000000"/>
            </w:tcBorders>
            <w:tcMar>
              <w:top w:w="0" w:type="dxa"/>
              <w:left w:w="0" w:type="dxa"/>
              <w:bottom w:w="0" w:type="dxa"/>
            </w:tcMar>
            <w:vAlign w:val="center"/>
          </w:tcPr>
          <w:p>
            <w:pPr>
              <w:pStyle w:val="TableContents"/>
              <w:bidi w:val="0"/>
              <w:spacing w:before="0" w:after="283"/>
              <w:ind w:left="0" w:right="0" w:firstLine="45"/>
              <w:jc w:val="left"/>
              <w:rPr/>
            </w:pPr>
            <w:r>
              <w:rPr/>
              <w:t> </w:t>
            </w:r>
          </w:p>
        </w:tc>
        <w:tc>
          <w:tcPr>
            <w:tcW w:w="3702" w:type="dxa"/>
            <w:tcBorders>
              <w:bottom w:val="single" w:sz="6" w:space="0" w:color="000000"/>
              <w:right w:val="single" w:sz="2" w:space="0" w:color="000000"/>
            </w:tcBorders>
            <w:tcMar>
              <w:top w:w="0" w:type="dxa"/>
              <w:left w:w="0" w:type="dxa"/>
            </w:tcMar>
            <w:vAlign w:val="center"/>
          </w:tcPr>
          <w:p>
            <w:pPr>
              <w:pStyle w:val="TableContents"/>
              <w:bidi w:val="0"/>
              <w:spacing w:before="48" w:after="283"/>
              <w:ind w:left="45" w:right="0" w:firstLine="45"/>
              <w:jc w:val="left"/>
              <w:rPr>
                <w:rFonts w:ascii="Arial" w:hAnsi="Arial"/>
                <w:color w:val="545259"/>
                <w:sz w:val="12"/>
              </w:rPr>
            </w:pPr>
            <w:r>
              <w:rPr>
                <w:rFonts w:ascii="Arial" w:hAnsi="Arial"/>
                <w:color w:val="545259"/>
                <w:sz w:val="12"/>
              </w:rPr>
              <w:t>Waste and vent service for base building areas</w:t>
            </w:r>
          </w:p>
        </w:tc>
        <w:tc>
          <w:tcPr>
            <w:tcW w:w="526" w:type="dxa"/>
            <w:gridSpan w:val="2"/>
            <w:tcBorders>
              <w:bottom w:val="single" w:sz="6" w:space="0" w:color="000000"/>
              <w:right w:val="single" w:sz="2" w:space="0" w:color="000000"/>
            </w:tcBorders>
            <w:tcMar>
              <w:top w:w="0" w:type="dxa"/>
              <w:left w:w="0" w:type="dxa"/>
            </w:tcMar>
            <w:vAlign w:val="center"/>
          </w:tcPr>
          <w:p>
            <w:pPr>
              <w:pStyle w:val="TableContents"/>
              <w:bidi w:val="0"/>
              <w:spacing w:before="0" w:after="283"/>
              <w:ind w:left="0" w:right="0" w:firstLine="19"/>
              <w:jc w:val="left"/>
              <w:rPr/>
            </w:pPr>
            <w:r>
              <w:rPr/>
              <w:t> </w:t>
            </w:r>
          </w:p>
        </w:tc>
        <w:tc>
          <w:tcPr>
            <w:tcW w:w="746" w:type="dxa"/>
            <w:tcBorders>
              <w:bottom w:val="single" w:sz="6" w:space="0" w:color="000000"/>
              <w:right w:val="single" w:sz="2" w:space="0" w:color="000000"/>
            </w:tcBorders>
            <w:tcMar>
              <w:top w:w="0" w:type="dxa"/>
              <w:left w:w="0" w:type="dxa"/>
            </w:tcMar>
            <w:vAlign w:val="center"/>
          </w:tcPr>
          <w:p>
            <w:pPr>
              <w:pStyle w:val="TableContents"/>
              <w:bidi w:val="0"/>
              <w:spacing w:before="38" w:after="283"/>
              <w:ind w:left="19" w:right="4" w:firstLine="19"/>
              <w:jc w:val="center"/>
              <w:rPr>
                <w:rFonts w:ascii="Arial" w:hAnsi="Arial"/>
                <w:b/>
                <w:color w:val="545259"/>
                <w:sz w:val="13"/>
              </w:rPr>
            </w:pPr>
            <w:r>
              <w:rPr>
                <w:rFonts w:ascii="Arial" w:hAnsi="Arial"/>
                <w:b/>
                <w:color w:val="545259"/>
                <w:sz w:val="13"/>
              </w:rPr>
              <w:t>X</w:t>
            </w:r>
          </w:p>
        </w:tc>
        <w:tc>
          <w:tcPr>
            <w:tcW w:w="677"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434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Exhibit 2.1-1, Page 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18" w:after="283"/>
        <w:jc w:val="center"/>
        <w:rPr>
          <w:rFonts w:ascii="Times New Roman" w:hAnsi="Times New Roman"/>
          <w:sz w:val="20"/>
        </w:rPr>
      </w:pPr>
      <w:bookmarkStart w:id="33" w:name="change_order__23_dated_may_3__2024__pent"/>
      <w:bookmarkEnd w:id="33"/>
      <w:r>
        <w:rPr>
          <w:rFonts w:ascii="Arial" w:hAnsi="Arial"/>
          <w:color w:val="000000"/>
          <w:sz w:val="27"/>
        </w:rPr>
        <w:t>Parcel</w:t>
      </w:r>
      <w:r>
        <w:rPr>
          <w:rFonts w:ascii="Times New Roman" w:hAnsi="Times New Roman"/>
          <w:color w:val="000000"/>
          <w:sz w:val="20"/>
        </w:rPr>
        <w:t xml:space="preserve"> </w:t>
      </w:r>
      <w:r>
        <w:rPr>
          <w:rFonts w:ascii="Arial" w:hAnsi="Arial"/>
          <w:color w:val="000000"/>
          <w:sz w:val="27"/>
        </w:rPr>
        <w:t>12</w:t>
      </w:r>
    </w:p>
    <w:p>
      <w:pPr>
        <w:pStyle w:val="TextBody"/>
        <w:bidi w:val="0"/>
        <w:spacing w:before="16" w:after="283"/>
        <w:jc w:val="center"/>
        <w:rPr>
          <w:rFonts w:ascii="Times New Roman" w:hAnsi="Times New Roman"/>
          <w:sz w:val="20"/>
        </w:rPr>
      </w:pPr>
      <w:r>
        <w:rPr>
          <w:rFonts w:ascii="Arial" w:hAnsi="Arial"/>
          <w:color w:val="000000"/>
          <w:sz w:val="17"/>
        </w:rPr>
        <w:t>Boston,</w:t>
      </w:r>
      <w:r>
        <w:rPr>
          <w:rFonts w:ascii="Times New Roman" w:hAnsi="Times New Roman"/>
          <w:color w:val="000000"/>
          <w:sz w:val="20"/>
        </w:rPr>
        <w:t xml:space="preserve"> </w:t>
      </w:r>
      <w:r>
        <w:rPr>
          <w:rFonts w:ascii="Arial" w:hAnsi="Arial"/>
          <w:color w:val="000000"/>
          <w:sz w:val="17"/>
        </w:rPr>
        <w:t>MA</w:t>
      </w:r>
    </w:p>
    <w:p>
      <w:pPr>
        <w:pStyle w:val="TextBody"/>
        <w:bidi w:val="0"/>
        <w:jc w:val="left"/>
        <w:rPr/>
      </w:pPr>
      <w:r>
        <w:rPr/>
        <w:t> </w:t>
      </w:r>
    </w:p>
    <w:tbl>
      <w:tblPr>
        <w:tblW w:w="3757" w:type="dxa"/>
        <w:jc w:val="left"/>
        <w:tblInd w:w="0" w:type="dxa"/>
        <w:tblLayout w:type="fixed"/>
        <w:tblCellMar>
          <w:top w:w="28" w:type="dxa"/>
          <w:left w:w="28" w:type="dxa"/>
          <w:bottom w:w="28" w:type="dxa"/>
          <w:right w:w="28" w:type="dxa"/>
        </w:tblCellMar>
      </w:tblPr>
      <w:tblGrid>
        <w:gridCol w:w="1392"/>
        <w:gridCol w:w="2365"/>
      </w:tblGrid>
      <w:tr>
        <w:trPr/>
        <w:tc>
          <w:tcPr>
            <w:tcW w:w="1392"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r>
      <w:tr>
        <w:trPr/>
        <w:tc>
          <w:tcPr>
            <w:tcW w:w="3757" w:type="dxa"/>
            <w:gridSpan w:val="2"/>
            <w:tcBorders>
              <w:top w:val="single" w:sz="4" w:space="0" w:color="000000"/>
              <w:left w:val="single" w:sz="4" w:space="0" w:color="000000"/>
              <w:bottom w:val="single" w:sz="4" w:space="0" w:color="000000"/>
              <w:right w:val="single" w:sz="4" w:space="0" w:color="000000"/>
            </w:tcBorders>
            <w:shd w:fill="F2F2F2" w:val="clear"/>
            <w:vAlign w:val="center"/>
          </w:tcPr>
          <w:p>
            <w:pPr>
              <w:pStyle w:val="TableContents"/>
              <w:bidi w:val="0"/>
              <w:spacing w:before="20" w:after="20"/>
              <w:ind w:left="0" w:right="7" w:hanging="0"/>
              <w:jc w:val="center"/>
              <w:rPr>
                <w:rFonts w:ascii="Times New Roman" w:hAnsi="Times New Roman"/>
                <w:sz w:val="22"/>
              </w:rPr>
            </w:pPr>
            <w:r>
              <w:rPr>
                <w:rFonts w:ascii="Arial" w:hAnsi="Arial"/>
                <w:color w:val="000000"/>
                <w:sz w:val="22"/>
              </w:rPr>
              <w:t>CarGurus</w:t>
            </w:r>
            <w:r>
              <w:rPr>
                <w:rFonts w:ascii="Times New Roman" w:hAnsi="Times New Roman"/>
                <w:color w:val="000000"/>
                <w:sz w:val="22"/>
              </w:rPr>
              <w:t xml:space="preserve"> </w:t>
            </w:r>
            <w:r>
              <w:rPr>
                <w:rFonts w:ascii="Arial" w:hAnsi="Arial"/>
                <w:color w:val="000000"/>
                <w:sz w:val="22"/>
              </w:rPr>
              <w:t>Tenant</w:t>
            </w:r>
            <w:r>
              <w:rPr>
                <w:rFonts w:ascii="Times New Roman" w:hAnsi="Times New Roman"/>
                <w:color w:val="000000"/>
                <w:sz w:val="22"/>
              </w:rPr>
              <w:t xml:space="preserve"> </w:t>
            </w:r>
            <w:r>
              <w:rPr>
                <w:rFonts w:ascii="Arial" w:hAnsi="Arial"/>
                <w:color w:val="000000"/>
                <w:sz w:val="22"/>
              </w:rPr>
              <w:t>Change</w:t>
            </w:r>
            <w:r>
              <w:rPr>
                <w:rFonts w:ascii="Times New Roman" w:hAnsi="Times New Roman"/>
                <w:color w:val="000000"/>
                <w:sz w:val="22"/>
              </w:rPr>
              <w:t xml:space="preserve"> </w:t>
            </w:r>
            <w:r>
              <w:rPr>
                <w:rFonts w:ascii="Arial" w:hAnsi="Arial"/>
                <w:color w:val="000000"/>
                <w:sz w:val="22"/>
              </w:rPr>
              <w:t>Order</w:t>
            </w:r>
            <w:r>
              <w:rPr>
                <w:rFonts w:ascii="Times New Roman" w:hAnsi="Times New Roman"/>
                <w:color w:val="000000"/>
                <w:sz w:val="22"/>
              </w:rPr>
              <w:t xml:space="preserve"> </w:t>
            </w:r>
            <w:r>
              <w:rPr>
                <w:rFonts w:ascii="Arial" w:hAnsi="Arial"/>
                <w:color w:val="000000"/>
                <w:sz w:val="22"/>
              </w:rPr>
              <w:t>#23</w:t>
            </w:r>
          </w:p>
        </w:tc>
      </w:tr>
      <w:tr>
        <w:trPr/>
        <w:tc>
          <w:tcPr>
            <w:tcW w:w="1392" w:type="dxa"/>
            <w:tcBorders/>
            <w:vAlign w:val="center"/>
          </w:tcPr>
          <w:p>
            <w:pPr>
              <w:pStyle w:val="TableContents"/>
              <w:bidi w:val="0"/>
              <w:spacing w:before="0" w:after="283"/>
              <w:jc w:val="center"/>
              <w:rPr/>
            </w:pPr>
            <w:r>
              <w:rPr/>
              <w:t> </w:t>
            </w:r>
          </w:p>
        </w:tc>
        <w:tc>
          <w:tcPr>
            <w:tcW w:w="2365" w:type="dxa"/>
            <w:tcBorders/>
            <w:vAlign w:val="center"/>
          </w:tcPr>
          <w:p>
            <w:pPr>
              <w:pStyle w:val="TableContents"/>
              <w:bidi w:val="0"/>
              <w:spacing w:before="0" w:after="283"/>
              <w:jc w:val="center"/>
              <w:rPr/>
            </w:pPr>
            <w:r>
              <w:rPr/>
              <w:t> </w:t>
            </w:r>
          </w:p>
        </w:tc>
      </w:tr>
      <w:tr>
        <w:trPr/>
        <w:tc>
          <w:tcPr>
            <w:tcW w:w="1392" w:type="dxa"/>
            <w:tcBorders/>
            <w:vAlign w:val="center"/>
          </w:tcPr>
          <w:p>
            <w:pPr>
              <w:pStyle w:val="TableContents"/>
              <w:bidi w:val="0"/>
              <w:spacing w:before="0" w:after="283"/>
              <w:jc w:val="right"/>
              <w:rPr>
                <w:rFonts w:ascii="Arial" w:hAnsi="Arial"/>
                <w:color w:val="000000"/>
                <w:sz w:val="13"/>
              </w:rPr>
            </w:pPr>
            <w:r>
              <w:rPr>
                <w:rFonts w:ascii="Arial" w:hAnsi="Arial"/>
                <w:color w:val="000000"/>
                <w:sz w:val="13"/>
              </w:rPr>
              <w:t>Date:</w:t>
            </w:r>
          </w:p>
        </w:tc>
        <w:tc>
          <w:tcPr>
            <w:tcW w:w="2365" w:type="dxa"/>
            <w:tcBorders/>
            <w:vAlign w:val="center"/>
          </w:tcPr>
          <w:p>
            <w:pPr>
              <w:pStyle w:val="TableContents"/>
              <w:bidi w:val="0"/>
              <w:spacing w:before="0" w:after="283"/>
              <w:jc w:val="center"/>
              <w:rPr>
                <w:rFonts w:ascii="Arial" w:hAnsi="Arial"/>
                <w:color w:val="000000"/>
                <w:sz w:val="13"/>
              </w:rPr>
            </w:pPr>
            <w:r>
              <w:rPr>
                <w:rFonts w:ascii="Arial" w:hAnsi="Arial"/>
                <w:color w:val="000000"/>
                <w:sz w:val="13"/>
              </w:rPr>
              <w:t>4/18/2024</w:t>
            </w:r>
          </w:p>
        </w:tc>
      </w:tr>
    </w:tbl>
    <w:p>
      <w:pPr>
        <w:pStyle w:val="TextBody"/>
        <w:bidi w:val="0"/>
        <w:jc w:val="left"/>
        <w:rPr/>
      </w:pPr>
      <w:r>
        <w:rPr/>
        <w:t> </w:t>
      </w:r>
    </w:p>
    <w:p>
      <w:pPr>
        <w:pStyle w:val="TextBody"/>
        <w:bidi w:val="0"/>
        <w:spacing w:before="45" w:after="283"/>
        <w:jc w:val="left"/>
        <w:rPr>
          <w:rFonts w:ascii="Times New Roman" w:hAnsi="Times New Roman"/>
          <w:sz w:val="20"/>
        </w:rPr>
      </w:pPr>
      <w:r>
        <w:rPr>
          <w:rFonts w:ascii="Arial" w:hAnsi="Arial"/>
          <w:color w:val="000000"/>
          <w:sz w:val="13"/>
        </w:rPr>
        <w:t>CarGurus,</w:t>
      </w:r>
      <w:r>
        <w:rPr>
          <w:rFonts w:ascii="Times New Roman" w:hAnsi="Times New Roman"/>
          <w:color w:val="000000"/>
          <w:sz w:val="20"/>
        </w:rPr>
        <w:t xml:space="preserve"> </w:t>
      </w:r>
      <w:r>
        <w:rPr>
          <w:rFonts w:ascii="Arial" w:hAnsi="Arial"/>
          <w:color w:val="000000"/>
          <w:sz w:val="13"/>
        </w:rPr>
        <w:t>Inc.</w:t>
      </w:r>
    </w:p>
    <w:p>
      <w:pPr>
        <w:pStyle w:val="TextBody"/>
        <w:bidi w:val="0"/>
        <w:spacing w:before="45" w:after="283"/>
        <w:jc w:val="left"/>
        <w:rPr>
          <w:rFonts w:ascii="Times New Roman" w:hAnsi="Times New Roman"/>
          <w:sz w:val="20"/>
        </w:rPr>
      </w:pPr>
      <w:r>
        <w:rPr>
          <w:rFonts w:ascii="Arial" w:hAnsi="Arial"/>
          <w:color w:val="000000"/>
          <w:sz w:val="13"/>
        </w:rPr>
        <w:t>2</w:t>
      </w:r>
      <w:r>
        <w:rPr>
          <w:rFonts w:ascii="Times New Roman" w:hAnsi="Times New Roman"/>
          <w:color w:val="000000"/>
          <w:sz w:val="20"/>
        </w:rPr>
        <w:t xml:space="preserve"> </w:t>
      </w:r>
      <w:r>
        <w:rPr>
          <w:rFonts w:ascii="Arial" w:hAnsi="Arial"/>
          <w:color w:val="000000"/>
          <w:sz w:val="13"/>
        </w:rPr>
        <w:t>Canal</w:t>
      </w:r>
      <w:r>
        <w:rPr>
          <w:rFonts w:ascii="Times New Roman" w:hAnsi="Times New Roman"/>
          <w:color w:val="000000"/>
          <w:sz w:val="20"/>
        </w:rPr>
        <w:t xml:space="preserve"> </w:t>
      </w:r>
      <w:r>
        <w:rPr>
          <w:rFonts w:ascii="Arial" w:hAnsi="Arial"/>
          <w:color w:val="000000"/>
          <w:sz w:val="13"/>
        </w:rPr>
        <w:t>Park</w:t>
      </w:r>
    </w:p>
    <w:p>
      <w:pPr>
        <w:pStyle w:val="TextBody"/>
        <w:bidi w:val="0"/>
        <w:spacing w:before="33" w:after="283"/>
        <w:jc w:val="left"/>
        <w:rPr>
          <w:rFonts w:ascii="Times New Roman" w:hAnsi="Times New Roman"/>
          <w:sz w:val="20"/>
        </w:rPr>
      </w:pPr>
      <w:r>
        <w:rPr>
          <w:rFonts w:ascii="Arial" w:hAnsi="Arial"/>
          <w:color w:val="000000"/>
          <w:sz w:val="13"/>
        </w:rPr>
        <w:t>Cambridge,</w:t>
      </w:r>
      <w:r>
        <w:rPr>
          <w:rFonts w:ascii="Times New Roman" w:hAnsi="Times New Roman"/>
          <w:color w:val="000000"/>
          <w:sz w:val="20"/>
        </w:rPr>
        <w:t xml:space="preserve"> </w:t>
      </w:r>
      <w:r>
        <w:rPr>
          <w:rFonts w:ascii="Arial" w:hAnsi="Arial"/>
          <w:color w:val="000000"/>
          <w:sz w:val="13"/>
        </w:rPr>
        <w:t>MA</w:t>
      </w:r>
      <w:r>
        <w:rPr>
          <w:rFonts w:ascii="Times New Roman" w:hAnsi="Times New Roman"/>
          <w:color w:val="000000"/>
          <w:sz w:val="20"/>
        </w:rPr>
        <w:t xml:space="preserve"> </w:t>
      </w:r>
      <w:r>
        <w:rPr>
          <w:rFonts w:ascii="Arial" w:hAnsi="Arial"/>
          <w:color w:val="000000"/>
          <w:sz w:val="13"/>
        </w:rPr>
        <w:t>02141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13"/>
        </w:rPr>
        <w:t>Mr.</w:t>
      </w:r>
      <w:r>
        <w:rPr>
          <w:rFonts w:ascii="Times New Roman" w:hAnsi="Times New Roman"/>
          <w:color w:val="000000"/>
          <w:sz w:val="20"/>
        </w:rPr>
        <w:t xml:space="preserve"> </w:t>
      </w:r>
      <w:r>
        <w:rPr>
          <w:rFonts w:ascii="Arial" w:hAnsi="Arial"/>
          <w:color w:val="000000"/>
          <w:sz w:val="13"/>
        </w:rPr>
        <w:t>Brandon</w:t>
      </w:r>
      <w:r>
        <w:rPr>
          <w:rFonts w:ascii="Times New Roman" w:hAnsi="Times New Roman"/>
          <w:color w:val="000000"/>
          <w:sz w:val="20"/>
        </w:rPr>
        <w:t xml:space="preserve"> </w:t>
      </w:r>
      <w:r>
        <w:rPr>
          <w:rFonts w:ascii="Arial" w:hAnsi="Arial"/>
          <w:color w:val="000000"/>
          <w:sz w:val="13"/>
        </w:rPr>
        <w:t>Morrill:</w:t>
      </w:r>
    </w:p>
    <w:p>
      <w:pPr>
        <w:pStyle w:val="TextBody"/>
        <w:bidi w:val="0"/>
        <w:spacing w:before="240" w:after="283"/>
        <w:jc w:val="left"/>
        <w:rPr>
          <w:rFonts w:ascii="Arial" w:hAnsi="Arial"/>
          <w:color w:val="000000"/>
          <w:sz w:val="13"/>
        </w:rPr>
      </w:pPr>
      <w:r>
        <w:rPr>
          <w:rFonts w:ascii="Arial" w:hAnsi="Arial"/>
          <w:color w:val="000000"/>
          <w:sz w:val="13"/>
        </w:rPr>
        <w:t>RE: Change Order - Lease by and between Cargurus, Inc. ("CarGurus") and P-12 Property LLC ("Landlord"), dated December 19, 2019, as amended (the “Lease”)</w:t>
      </w:r>
    </w:p>
    <w:p>
      <w:pPr>
        <w:pStyle w:val="TextBody"/>
        <w:bidi w:val="0"/>
        <w:spacing w:before="240" w:after="283"/>
        <w:jc w:val="left"/>
        <w:rPr>
          <w:rFonts w:ascii="Arial" w:hAnsi="Arial"/>
          <w:color w:val="000000"/>
          <w:sz w:val="13"/>
        </w:rPr>
      </w:pPr>
      <w:r>
        <w:rPr>
          <w:rFonts w:ascii="Arial" w:hAnsi="Arial"/>
          <w:color w:val="000000"/>
          <w:sz w:val="13"/>
        </w:rPr>
        <w:t>Pursuant to the Lease, CarGurus has requested modifications to the Base Building Plans and Specifications to accomodate Tenant's design of Tenant's Work, which request requires this change order to such plans and specifications. The work to be performed as a result of this change order is summarized as follows and described in more detail on Exhibit A attached hereto:</w:t>
      </w:r>
    </w:p>
    <w:p>
      <w:pPr>
        <w:pStyle w:val="TextBody"/>
        <w:bidi w:val="0"/>
        <w:jc w:val="left"/>
        <w:rPr/>
      </w:pPr>
      <w:r>
        <w:rPr/>
        <w:t> </w:t>
      </w:r>
    </w:p>
    <w:p>
      <w:pPr>
        <w:pStyle w:val="TextBody"/>
        <w:bidi w:val="0"/>
        <w:jc w:val="left"/>
        <w:rPr/>
      </w:pPr>
      <w:r>
        <w:rPr/>
        <w:t> </w:t>
      </w:r>
    </w:p>
    <w:tbl>
      <w:tblPr>
        <w:tblW w:w="8774" w:type="dxa"/>
        <w:jc w:val="left"/>
        <w:tblInd w:w="0" w:type="dxa"/>
        <w:tblLayout w:type="fixed"/>
        <w:tblCellMar>
          <w:top w:w="28" w:type="dxa"/>
          <w:left w:w="28" w:type="dxa"/>
          <w:bottom w:w="28" w:type="dxa"/>
          <w:right w:w="28" w:type="dxa"/>
        </w:tblCellMar>
      </w:tblPr>
      <w:tblGrid>
        <w:gridCol w:w="421"/>
        <w:gridCol w:w="2217"/>
        <w:gridCol w:w="2222"/>
        <w:gridCol w:w="2151"/>
        <w:gridCol w:w="922"/>
        <w:gridCol w:w="841"/>
      </w:tblGrid>
      <w:tr>
        <w:trPr/>
        <w:tc>
          <w:tcPr>
            <w:tcW w:w="421"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21" w:type="dxa"/>
            <w:tcBorders>
              <w:top w:val="single" w:sz="6" w:space="0" w:color="000000"/>
              <w:left w:val="single" w:sz="6" w:space="0" w:color="000000"/>
              <w:bottom w:val="single" w:sz="6" w:space="0" w:color="000000"/>
            </w:tcBorders>
            <w:shd w:fill="D0CECE" w:val="clear"/>
            <w:tcMar>
              <w:right w:w="0" w:type="dxa"/>
            </w:tcMar>
            <w:vAlign w:val="center"/>
          </w:tcPr>
          <w:p>
            <w:pPr>
              <w:pStyle w:val="TableContents"/>
              <w:bidi w:val="0"/>
              <w:spacing w:before="0" w:after="283"/>
              <w:jc w:val="center"/>
              <w:rPr>
                <w:rFonts w:ascii="Arial" w:hAnsi="Arial"/>
                <w:color w:val="000000"/>
                <w:sz w:val="15"/>
              </w:rPr>
            </w:pPr>
            <w:r>
              <w:rPr>
                <w:rFonts w:ascii="Arial" w:hAnsi="Arial"/>
                <w:color w:val="000000"/>
                <w:sz w:val="15"/>
              </w:rPr>
              <w:t>Item</w:t>
            </w:r>
          </w:p>
        </w:tc>
        <w:tc>
          <w:tcPr>
            <w:tcW w:w="4439" w:type="dxa"/>
            <w:gridSpan w:val="2"/>
            <w:tcBorders>
              <w:top w:val="single" w:sz="6" w:space="0" w:color="000000"/>
              <w:bottom w:val="single" w:sz="6" w:space="0" w:color="000000"/>
            </w:tcBorders>
            <w:shd w:fill="D0CECE" w:val="clear"/>
            <w:tcMar>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Description</w:t>
            </w:r>
          </w:p>
        </w:tc>
        <w:tc>
          <w:tcPr>
            <w:tcW w:w="2151" w:type="dxa"/>
            <w:tcBorders>
              <w:top w:val="single" w:sz="6" w:space="0" w:color="000000"/>
              <w:bottom w:val="single" w:sz="6" w:space="0" w:color="000000"/>
            </w:tcBorders>
            <w:shd w:fill="D0CECE" w:val="clear"/>
            <w:tcMar>
              <w:left w:w="0" w:type="dxa"/>
              <w:right w:w="0" w:type="dxa"/>
            </w:tcMar>
            <w:vAlign w:val="center"/>
          </w:tcPr>
          <w:p>
            <w:pPr>
              <w:pStyle w:val="TableContents"/>
              <w:bidi w:val="0"/>
              <w:spacing w:before="0" w:after="283"/>
              <w:ind w:left="0" w:right="0" w:firstLine="276"/>
              <w:jc w:val="left"/>
              <w:rPr/>
            </w:pPr>
            <w:r>
              <w:rPr/>
              <w:t> </w:t>
            </w:r>
          </w:p>
        </w:tc>
        <w:tc>
          <w:tcPr>
            <w:tcW w:w="922" w:type="dxa"/>
            <w:tcBorders>
              <w:top w:val="single" w:sz="6" w:space="0" w:color="000000"/>
              <w:bottom w:val="single" w:sz="6" w:space="0" w:color="000000"/>
              <w:right w:val="single" w:sz="6" w:space="0" w:color="000000"/>
            </w:tcBorders>
            <w:shd w:fill="D0CECE" w:val="clear"/>
            <w:tcMar>
              <w:left w:w="0" w:type="dxa"/>
            </w:tcMar>
            <w:vAlign w:val="center"/>
          </w:tcPr>
          <w:p>
            <w:pPr>
              <w:pStyle w:val="TableContents"/>
              <w:bidi w:val="0"/>
              <w:spacing w:before="0" w:after="283"/>
              <w:ind w:left="276" w:right="0" w:firstLine="276"/>
              <w:jc w:val="center"/>
              <w:rPr>
                <w:rFonts w:ascii="Arial" w:hAnsi="Arial"/>
                <w:color w:val="000000"/>
                <w:sz w:val="15"/>
              </w:rPr>
            </w:pPr>
            <w:r>
              <w:rPr>
                <w:rFonts w:ascii="Arial" w:hAnsi="Arial"/>
                <w:color w:val="000000"/>
                <w:sz w:val="15"/>
              </w:rPr>
              <w:t>Amount</w:t>
            </w:r>
          </w:p>
        </w:tc>
        <w:tc>
          <w:tcPr>
            <w:tcW w:w="841" w:type="dxa"/>
            <w:tcBorders>
              <w:top w:val="single" w:sz="6" w:space="0" w:color="000000"/>
            </w:tcBorders>
            <w:tcMar>
              <w:left w:w="0" w:type="dxa"/>
              <w:bottom w:w="0" w:type="dxa"/>
              <w:right w:w="0" w:type="dxa"/>
            </w:tcMar>
            <w:vAlign w:val="center"/>
          </w:tcPr>
          <w:p>
            <w:pPr>
              <w:pStyle w:val="TableContents"/>
              <w:bidi w:val="0"/>
              <w:spacing w:before="0" w:after="283"/>
              <w:ind w:left="276" w:right="0" w:hanging="0"/>
              <w:jc w:val="left"/>
              <w:rPr/>
            </w:pPr>
            <w:r>
              <w:rPr/>
              <w:t> </w:t>
            </w:r>
          </w:p>
        </w:tc>
      </w:tr>
      <w:tr>
        <w:trPr/>
        <w:tc>
          <w:tcPr>
            <w:tcW w:w="421" w:type="dxa"/>
            <w:tcBorders>
              <w:left w:val="single" w:sz="6" w:space="0" w:color="000000"/>
              <w:bottom w:val="single" w:sz="6" w:space="0" w:color="ADA9A9"/>
            </w:tcBorders>
            <w:tcMar>
              <w:top w:w="0" w:type="dxa"/>
              <w:right w:w="0" w:type="dxa"/>
            </w:tcMar>
            <w:vAlign w:val="center"/>
          </w:tcPr>
          <w:p>
            <w:pPr>
              <w:pStyle w:val="TableContents"/>
              <w:bidi w:val="0"/>
              <w:spacing w:before="9" w:after="283"/>
              <w:jc w:val="center"/>
              <w:rPr/>
            </w:pPr>
            <w:r>
              <w:rPr/>
              <w:t> </w:t>
            </w:r>
          </w:p>
          <w:p>
            <w:pPr>
              <w:pStyle w:val="TableContents"/>
              <w:bidi w:val="0"/>
              <w:spacing w:before="0" w:after="283"/>
              <w:jc w:val="center"/>
              <w:rPr>
                <w:rFonts w:ascii="Arial" w:hAnsi="Arial"/>
                <w:color w:val="000000"/>
                <w:sz w:val="15"/>
              </w:rPr>
            </w:pPr>
            <w:r>
              <w:rPr>
                <w:rFonts w:ascii="Arial" w:hAnsi="Arial"/>
                <w:color w:val="000000"/>
                <w:sz w:val="15"/>
              </w:rPr>
              <w:t>1</w:t>
            </w:r>
          </w:p>
        </w:tc>
        <w:tc>
          <w:tcPr>
            <w:tcW w:w="6590" w:type="dxa"/>
            <w:gridSpan w:val="3"/>
            <w:tcBorders>
              <w:bottom w:val="single" w:sz="6" w:space="0" w:color="ADA9A9"/>
            </w:tcBorders>
            <w:tcMar>
              <w:top w:w="0" w:type="dxa"/>
              <w:left w:w="0" w:type="dxa"/>
              <w:right w:w="0" w:type="dxa"/>
            </w:tcMar>
            <w:vAlign w:val="center"/>
          </w:tcPr>
          <w:p>
            <w:pPr>
              <w:pStyle w:val="TableContents"/>
              <w:bidi w:val="0"/>
              <w:spacing w:before="74" w:after="283"/>
              <w:ind w:left="0" w:right="66" w:hanging="0"/>
              <w:jc w:val="left"/>
              <w:rPr>
                <w:rFonts w:ascii="Times New Roman" w:hAnsi="Times New Roman"/>
                <w:sz w:val="16"/>
              </w:rPr>
            </w:pPr>
            <w:r>
              <w:rPr>
                <w:rFonts w:ascii="Arial" w:hAnsi="Arial"/>
                <w:color w:val="000000"/>
                <w:sz w:val="16"/>
                <w:u w:val="single"/>
              </w:rPr>
              <w:t>Landlord</w:t>
            </w:r>
            <w:r>
              <w:rPr>
                <w:rFonts w:ascii="Times New Roman" w:hAnsi="Times New Roman"/>
                <w:color w:val="000000"/>
                <w:sz w:val="16"/>
                <w:u w:val="single"/>
              </w:rPr>
              <w:t xml:space="preserve"> </w:t>
            </w:r>
            <w:r>
              <w:rPr>
                <w:rFonts w:ascii="Arial" w:hAnsi="Arial"/>
                <w:color w:val="000000"/>
                <w:sz w:val="16"/>
                <w:u w:val="single"/>
              </w:rPr>
              <w:t>Credit</w:t>
            </w:r>
            <w:r>
              <w:rPr>
                <w:rFonts w:ascii="Times New Roman" w:hAnsi="Times New Roman"/>
                <w:color w:val="000000"/>
                <w:sz w:val="16"/>
                <w:u w:val="single"/>
              </w:rPr>
              <w:t xml:space="preserve"> </w:t>
            </w:r>
            <w:r>
              <w:rPr>
                <w:rFonts w:ascii="Arial" w:hAnsi="Arial"/>
                <w:color w:val="000000"/>
                <w:sz w:val="16"/>
                <w:u w:val="single"/>
              </w:rPr>
              <w:t>for</w:t>
            </w:r>
            <w:r>
              <w:rPr>
                <w:rFonts w:ascii="Times New Roman" w:hAnsi="Times New Roman"/>
                <w:color w:val="000000"/>
                <w:sz w:val="16"/>
                <w:u w:val="single"/>
              </w:rPr>
              <w:t xml:space="preserve"> </w:t>
            </w:r>
            <w:r>
              <w:rPr>
                <w:rFonts w:ascii="Arial" w:hAnsi="Arial"/>
                <w:color w:val="000000"/>
                <w:sz w:val="16"/>
                <w:u w:val="single"/>
              </w:rPr>
              <w:t>additional</w:t>
            </w:r>
            <w:r>
              <w:rPr>
                <w:rFonts w:ascii="Times New Roman" w:hAnsi="Times New Roman"/>
                <w:color w:val="000000"/>
                <w:sz w:val="16"/>
                <w:u w:val="single"/>
              </w:rPr>
              <w:t xml:space="preserve"> </w:t>
            </w:r>
            <w:r>
              <w:rPr>
                <w:rFonts w:ascii="Arial" w:hAnsi="Arial"/>
                <w:color w:val="000000"/>
                <w:sz w:val="16"/>
                <w:u w:val="single"/>
              </w:rPr>
              <w:t>Penthouse</w:t>
            </w:r>
            <w:r>
              <w:rPr>
                <w:rFonts w:ascii="Times New Roman" w:hAnsi="Times New Roman"/>
                <w:color w:val="000000"/>
                <w:sz w:val="16"/>
                <w:u w:val="single"/>
              </w:rPr>
              <w:t xml:space="preserve"> </w:t>
            </w:r>
            <w:r>
              <w:rPr>
                <w:rFonts w:ascii="Arial" w:hAnsi="Arial"/>
                <w:color w:val="000000"/>
                <w:sz w:val="16"/>
                <w:u w:val="single"/>
              </w:rPr>
              <w:t>sign</w:t>
            </w:r>
            <w:r>
              <w:rPr>
                <w:rFonts w:ascii="Times New Roman" w:hAnsi="Times New Roman"/>
                <w:color w:val="000000"/>
                <w:sz w:val="16"/>
                <w:u w:val="single"/>
              </w:rPr>
              <w:t xml:space="preserve"> </w:t>
            </w:r>
            <w:r>
              <w:rPr>
                <w:rFonts w:ascii="Arial" w:hAnsi="Arial"/>
                <w:color w:val="000000"/>
                <w:sz w:val="16"/>
                <w:u w:val="single"/>
              </w:rPr>
              <w:t>drilling</w:t>
            </w:r>
            <w:r>
              <w:rPr>
                <w:rFonts w:ascii="Times New Roman" w:hAnsi="Times New Roman"/>
                <w:color w:val="000000"/>
                <w:sz w:val="16"/>
                <w:u w:val="single"/>
              </w:rPr>
              <w:t xml:space="preserve"> </w:t>
            </w:r>
            <w:r>
              <w:rPr>
                <w:rFonts w:ascii="Arial" w:hAnsi="Arial"/>
                <w:color w:val="000000"/>
                <w:sz w:val="16"/>
                <w:u w:val="single"/>
              </w:rPr>
              <w:t>provided</w:t>
            </w:r>
            <w:r>
              <w:rPr>
                <w:rFonts w:ascii="Times New Roman" w:hAnsi="Times New Roman"/>
                <w:color w:val="000000"/>
                <w:sz w:val="16"/>
                <w:u w:val="single"/>
              </w:rPr>
              <w:t xml:space="preserve"> </w:t>
            </w:r>
            <w:r>
              <w:rPr>
                <w:rFonts w:ascii="Arial" w:hAnsi="Arial"/>
                <w:color w:val="000000"/>
                <w:sz w:val="16"/>
                <w:u w:val="single"/>
              </w:rPr>
              <w:t>by</w:t>
            </w:r>
            <w:r>
              <w:rPr>
                <w:rFonts w:ascii="Times New Roman" w:hAnsi="Times New Roman"/>
                <w:color w:val="000000"/>
                <w:sz w:val="16"/>
                <w:u w:val="single"/>
              </w:rPr>
              <w:t xml:space="preserve"> </w:t>
            </w:r>
            <w:r>
              <w:rPr>
                <w:rFonts w:ascii="Arial" w:hAnsi="Arial"/>
                <w:color w:val="000000"/>
                <w:sz w:val="16"/>
                <w:u w:val="single"/>
              </w:rPr>
              <w:t>Tenant</w:t>
            </w:r>
            <w:r>
              <w:rPr>
                <w:rFonts w:ascii="Times New Roman" w:hAnsi="Times New Roman"/>
                <w:color w:val="000000"/>
                <w:sz w:val="16"/>
                <w:u w:val="single"/>
              </w:rPr>
              <w:t xml:space="preserve"> </w:t>
            </w:r>
            <w:r>
              <w:rPr>
                <w:rFonts w:ascii="Arial" w:hAnsi="Arial"/>
                <w:color w:val="000000"/>
                <w:sz w:val="16"/>
                <w:u w:val="single"/>
              </w:rPr>
              <w:t>sign</w:t>
            </w:r>
            <w:r>
              <w:rPr>
                <w:rFonts w:ascii="Times New Roman" w:hAnsi="Times New Roman"/>
                <w:color w:val="000000"/>
                <w:sz w:val="16"/>
                <w:u w:val="single"/>
              </w:rPr>
              <w:t xml:space="preserve"> </w:t>
            </w:r>
            <w:r>
              <w:rPr>
                <w:rFonts w:ascii="Arial" w:hAnsi="Arial"/>
                <w:color w:val="000000"/>
                <w:sz w:val="16"/>
                <w:u w:val="single"/>
              </w:rPr>
              <w:t>contractor.</w:t>
            </w:r>
            <w:r>
              <w:rPr>
                <w:rFonts w:ascii="Times New Roman" w:hAnsi="Times New Roman"/>
                <w:color w:val="000000"/>
                <w:sz w:val="16"/>
              </w:rPr>
              <w:t xml:space="preserve"> </w:t>
            </w:r>
          </w:p>
          <w:p>
            <w:pPr>
              <w:pStyle w:val="TableContents"/>
              <w:bidi w:val="0"/>
              <w:spacing w:before="0" w:after="60"/>
              <w:ind w:left="0" w:right="66" w:hanging="0"/>
              <w:jc w:val="left"/>
              <w:rPr>
                <w:rFonts w:ascii="Times New Roman" w:hAnsi="Times New Roman"/>
                <w:sz w:val="16"/>
              </w:rPr>
            </w:pPr>
            <w:r>
              <w:rPr>
                <w:rFonts w:ascii="Arial" w:hAnsi="Arial"/>
                <w:color w:val="000000"/>
                <w:sz w:val="16"/>
                <w:u w:val="single"/>
              </w:rPr>
              <w:t>Agreed</w:t>
            </w:r>
            <w:r>
              <w:rPr>
                <w:rFonts w:ascii="Times New Roman" w:hAnsi="Times New Roman"/>
                <w:color w:val="000000"/>
                <w:sz w:val="16"/>
                <w:u w:val="single"/>
              </w:rPr>
              <w:t xml:space="preserve"> </w:t>
            </w:r>
            <w:r>
              <w:rPr>
                <w:rFonts w:ascii="Arial" w:hAnsi="Arial"/>
                <w:color w:val="000000"/>
                <w:sz w:val="16"/>
                <w:u w:val="single"/>
              </w:rPr>
              <w:t>upon</w:t>
            </w:r>
            <w:r>
              <w:rPr>
                <w:rFonts w:ascii="Times New Roman" w:hAnsi="Times New Roman"/>
                <w:color w:val="000000"/>
                <w:sz w:val="16"/>
                <w:u w:val="single"/>
              </w:rPr>
              <w:t xml:space="preserve"> </w:t>
            </w:r>
            <w:r>
              <w:rPr>
                <w:rFonts w:ascii="Arial" w:hAnsi="Arial"/>
                <w:color w:val="000000"/>
                <w:sz w:val="16"/>
                <w:u w:val="single"/>
              </w:rPr>
              <w:t>value</w:t>
            </w:r>
            <w:r>
              <w:rPr>
                <w:rFonts w:ascii="Times New Roman" w:hAnsi="Times New Roman"/>
                <w:color w:val="000000"/>
                <w:sz w:val="16"/>
                <w:u w:val="single"/>
              </w:rPr>
              <w:t xml:space="preserve"> </w:t>
            </w:r>
            <w:r>
              <w:rPr>
                <w:rFonts w:ascii="Arial" w:hAnsi="Arial"/>
                <w:color w:val="000000"/>
                <w:sz w:val="16"/>
                <w:u w:val="single"/>
              </w:rPr>
              <w:t>is</w:t>
            </w:r>
            <w:r>
              <w:rPr>
                <w:rFonts w:ascii="Times New Roman" w:hAnsi="Times New Roman"/>
                <w:color w:val="000000"/>
                <w:sz w:val="16"/>
                <w:u w:val="single"/>
              </w:rPr>
              <w:t xml:space="preserve"> </w:t>
            </w:r>
            <w:r>
              <w:rPr>
                <w:rFonts w:ascii="Arial" w:hAnsi="Arial"/>
                <w:color w:val="000000"/>
                <w:sz w:val="16"/>
                <w:u w:val="single"/>
              </w:rPr>
              <w:t>a</w:t>
            </w:r>
            <w:r>
              <w:rPr>
                <w:rFonts w:ascii="Times New Roman" w:hAnsi="Times New Roman"/>
                <w:color w:val="000000"/>
                <w:sz w:val="16"/>
                <w:u w:val="single"/>
              </w:rPr>
              <w:t xml:space="preserve"> </w:t>
            </w:r>
            <w:r>
              <w:rPr>
                <w:rFonts w:ascii="Arial" w:hAnsi="Arial"/>
                <w:color w:val="000000"/>
                <w:sz w:val="16"/>
                <w:u w:val="single"/>
              </w:rPr>
              <w:t>lump</w:t>
            </w:r>
            <w:r>
              <w:rPr>
                <w:rFonts w:ascii="Times New Roman" w:hAnsi="Times New Roman"/>
                <w:color w:val="000000"/>
                <w:sz w:val="16"/>
                <w:u w:val="single"/>
              </w:rPr>
              <w:t xml:space="preserve"> </w:t>
            </w:r>
            <w:r>
              <w:rPr>
                <w:rFonts w:ascii="Arial" w:hAnsi="Arial"/>
                <w:color w:val="000000"/>
                <w:sz w:val="16"/>
                <w:u w:val="single"/>
              </w:rPr>
              <w:t>sum</w:t>
            </w:r>
            <w:r>
              <w:rPr>
                <w:rFonts w:ascii="Times New Roman" w:hAnsi="Times New Roman"/>
                <w:color w:val="000000"/>
                <w:sz w:val="16"/>
                <w:u w:val="single"/>
              </w:rPr>
              <w:t xml:space="preserve"> </w:t>
            </w:r>
            <w:r>
              <w:rPr>
                <w:rFonts w:ascii="Arial" w:hAnsi="Arial"/>
                <w:color w:val="000000"/>
                <w:sz w:val="16"/>
                <w:u w:val="single"/>
              </w:rPr>
              <w:t>value</w:t>
            </w:r>
            <w:r>
              <w:rPr>
                <w:rFonts w:ascii="Times New Roman" w:hAnsi="Times New Roman"/>
                <w:color w:val="000000"/>
                <w:sz w:val="16"/>
                <w:u w:val="single"/>
              </w:rPr>
              <w:t xml:space="preserve"> </w:t>
            </w:r>
            <w:r>
              <w:rPr>
                <w:rFonts w:ascii="Arial" w:hAnsi="Arial"/>
                <w:color w:val="000000"/>
                <w:sz w:val="16"/>
                <w:u w:val="single"/>
              </w:rPr>
              <w:t>of</w:t>
            </w:r>
            <w:r>
              <w:rPr>
                <w:rFonts w:ascii="Times New Roman" w:hAnsi="Times New Roman"/>
                <w:color w:val="000000"/>
                <w:sz w:val="16"/>
                <w:u w:val="single"/>
              </w:rPr>
              <w:t xml:space="preserve"> </w:t>
            </w:r>
            <w:r>
              <w:rPr>
                <w:rFonts w:ascii="Arial" w:hAnsi="Arial"/>
                <w:color w:val="000000"/>
                <w:sz w:val="16"/>
                <w:u w:val="single"/>
              </w:rPr>
              <w:t>$10,000</w:t>
            </w:r>
          </w:p>
        </w:tc>
        <w:tc>
          <w:tcPr>
            <w:tcW w:w="92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($10,000)</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right"/>
              <w:rPr>
                <w:rFonts w:ascii="Arial" w:hAnsi="Arial"/>
                <w:color w:val="0077D4"/>
                <w:sz w:val="21"/>
              </w:rPr>
            </w:pPr>
            <w:r>
              <w:rPr>
                <w:rFonts w:ascii="Arial" w:hAnsi="Arial"/>
                <w:color w:val="0077D4"/>
                <w:sz w:val="21"/>
              </w:rPr>
              <w:t>OK MC</w:t>
            </w:r>
          </w:p>
        </w:tc>
      </w:tr>
      <w:tr>
        <w:trPr/>
        <w:tc>
          <w:tcPr>
            <w:tcW w:w="7011" w:type="dxa"/>
            <w:gridSpan w:val="4"/>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2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11" w:type="dxa"/>
            <w:gridSpan w:val="4"/>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2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11" w:type="dxa"/>
            <w:gridSpan w:val="4"/>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2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11" w:type="dxa"/>
            <w:gridSpan w:val="4"/>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2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11" w:type="dxa"/>
            <w:gridSpan w:val="4"/>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2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11" w:type="dxa"/>
            <w:gridSpan w:val="4"/>
            <w:tcBorders>
              <w:left w:val="single" w:sz="6" w:space="0" w:color="000000"/>
              <w:bottom w:val="single" w:sz="6" w:space="0" w:color="ADA9A9"/>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22" w:type="dxa"/>
            <w:tcBorders>
              <w:bottom w:val="single" w:sz="6" w:space="0" w:color="ADA9A9"/>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11" w:type="dxa"/>
            <w:gridSpan w:val="4"/>
            <w:tcBorders>
              <w:left w:val="single" w:sz="6" w:space="0" w:color="000000"/>
              <w:bottom w:val="single" w:sz="6" w:space="0" w:color="000000"/>
            </w:tcBorders>
            <w:tcMar>
              <w:top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922" w:type="dxa"/>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pPr>
            <w:r>
              <w:rPr/>
              <w:t> </w:t>
            </w:r>
          </w:p>
        </w:tc>
        <w:tc>
          <w:tcPr>
            <w:tcW w:w="8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38" w:type="dxa"/>
            <w:gridSpan w:val="2"/>
            <w:tcBorders>
              <w:right w:val="single" w:sz="6" w:space="0" w:color="000000"/>
            </w:tcBorders>
            <w:tcMar>
              <w:top w:w="0" w:type="dxa"/>
              <w:left w:w="0" w:type="dxa"/>
              <w:bottom w:w="0" w:type="dxa"/>
            </w:tcMar>
            <w:vAlign w:val="center"/>
          </w:tcPr>
          <w:p>
            <w:pPr>
              <w:pStyle w:val="TableContents"/>
              <w:bidi w:val="0"/>
              <w:spacing w:before="0" w:after="283"/>
              <w:ind w:left="0" w:right="0" w:firstLine="29"/>
              <w:jc w:val="left"/>
              <w:rPr/>
            </w:pPr>
            <w:r>
              <w:rPr/>
              <w:t> </w:t>
            </w:r>
          </w:p>
        </w:tc>
        <w:tc>
          <w:tcPr>
            <w:tcW w:w="4373" w:type="dxa"/>
            <w:gridSpan w:val="2"/>
            <w:tcBorders>
              <w:bottom w:val="single" w:sz="6" w:space="0" w:color="000000"/>
            </w:tcBorders>
            <w:tcMar>
              <w:top w:w="0" w:type="dxa"/>
              <w:left w:w="0" w:type="dxa"/>
              <w:right w:w="0" w:type="dxa"/>
            </w:tcMar>
            <w:vAlign w:val="center"/>
          </w:tcPr>
          <w:p>
            <w:pPr>
              <w:pStyle w:val="TableContents"/>
              <w:bidi w:val="0"/>
              <w:spacing w:before="15" w:after="283"/>
              <w:ind w:left="29" w:right="0" w:firstLine="29"/>
              <w:jc w:val="left"/>
              <w:rPr>
                <w:rFonts w:ascii="Times New Roman" w:hAnsi="Times New Roman"/>
                <w:sz w:val="13"/>
              </w:rPr>
            </w:pPr>
            <w:r>
              <w:rPr>
                <w:rFonts w:ascii="Arial" w:hAnsi="Arial"/>
                <w:b/>
                <w:color w:val="000000"/>
                <w:sz w:val="13"/>
              </w:rPr>
              <w:t>TOTAL</w:t>
            </w:r>
            <w:r>
              <w:rPr>
                <w:rFonts w:ascii="Times New Roman" w:hAnsi="Times New Roman"/>
                <w:color w:val="000000"/>
                <w:sz w:val="13"/>
              </w:rPr>
              <w:t xml:space="preserve"> </w:t>
            </w:r>
            <w:r>
              <w:rPr>
                <w:rFonts w:ascii="Arial" w:hAnsi="Arial"/>
                <w:b/>
                <w:color w:val="000000"/>
                <w:sz w:val="13"/>
              </w:rPr>
              <w:t>CO#23</w:t>
            </w:r>
          </w:p>
        </w:tc>
        <w:tc>
          <w:tcPr>
            <w:tcW w:w="922" w:type="dxa"/>
            <w:tcBorders>
              <w:bottom w:val="single" w:sz="6" w:space="0" w:color="000000"/>
              <w:right w:val="single" w:sz="6" w:space="0" w:color="000000"/>
            </w:tcBorders>
            <w:tcMar>
              <w:top w:w="0" w:type="dxa"/>
              <w:left w:w="0" w:type="dxa"/>
            </w:tcMar>
            <w:vAlign w:val="center"/>
          </w:tcPr>
          <w:p>
            <w:pPr>
              <w:pStyle w:val="TableContents"/>
              <w:bidi w:val="0"/>
              <w:spacing w:before="15" w:after="283"/>
              <w:ind w:left="0" w:right="0" w:firstLine="23"/>
              <w:jc w:val="right"/>
              <w:rPr>
                <w:rFonts w:ascii="Arial" w:hAnsi="Arial"/>
                <w:b/>
                <w:color w:val="000000"/>
                <w:sz w:val="12"/>
              </w:rPr>
            </w:pPr>
            <w:r>
              <w:rPr>
                <w:rFonts w:ascii="Arial" w:hAnsi="Arial"/>
                <w:b/>
                <w:color w:val="000000"/>
                <w:sz w:val="12"/>
              </w:rPr>
              <w:t>($10,000.00)</w:t>
            </w:r>
          </w:p>
        </w:tc>
        <w:tc>
          <w:tcPr>
            <w:tcW w:w="841" w:type="dxa"/>
            <w:tcBorders>
              <w:bottom w:val="single" w:sz="6" w:space="0" w:color="000000"/>
            </w:tcBorders>
            <w:tcMar>
              <w:top w:w="0" w:type="dxa"/>
              <w:left w:w="0" w:type="dxa"/>
              <w:right w:w="0" w:type="dxa"/>
            </w:tcMar>
            <w:vAlign w:val="center"/>
          </w:tcPr>
          <w:p>
            <w:pPr>
              <w:pStyle w:val="TableContents"/>
              <w:bidi w:val="0"/>
              <w:spacing w:before="15" w:after="283"/>
              <w:ind w:left="23" w:right="0" w:firstLine="23"/>
              <w:jc w:val="left"/>
              <w:rPr/>
            </w:pPr>
            <w:r>
              <w:rPr/>
              <w:t> </w:t>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CarGurus acknowledges and agrees that (a) this change order constitutes a Tenant Change Order subject to and in accordance with the terms of the Lease; and (b) (i) it will pay to Landlord, as Additional Rent under the Lease, the actual amount of the increased costs and expenses resulting from this Tenant Change Order, and (ii) any and all delays resulting from the work contemplated by or resulting from this Tenant Change Order shall constitute a Tenant Delay under the Lease. Capitalized terms used but not defined herein shall have the meaning ascribed to them in the Lease. Please countersign this change order in the space below to confirm your agreement.</w:t>
      </w:r>
    </w:p>
    <w:p>
      <w:pPr>
        <w:pStyle w:val="TextBody"/>
        <w:bidi w:val="0"/>
        <w:spacing w:before="240" w:after="283"/>
        <w:jc w:val="left"/>
        <w:rPr>
          <w:rFonts w:ascii="Arial" w:hAnsi="Arial"/>
          <w:color w:val="000000"/>
          <w:sz w:val="15"/>
        </w:rPr>
      </w:pPr>
      <w:r>
        <w:rPr>
          <w:rFonts w:ascii="Arial" w:hAnsi="Arial"/>
          <w:color w:val="000000"/>
          <w:sz w:val="15"/>
        </w:rPr>
        <w:t>Sincerely,</w:t>
      </w:r>
    </w:p>
    <w:p>
      <w:pPr>
        <w:pStyle w:val="TextBody"/>
        <w:bidi w:val="0"/>
        <w:spacing w:before="240" w:after="283"/>
        <w:jc w:val="left"/>
        <w:rPr>
          <w:rFonts w:ascii="Times New Roman" w:hAnsi="Times New Roman"/>
          <w:sz w:val="20"/>
        </w:rPr>
      </w:pPr>
      <w:r>
        <w:rPr>
          <w:rFonts w:ascii="Arial" w:hAnsi="Arial"/>
          <w:b/>
          <w:color w:val="000000"/>
          <w:sz w:val="15"/>
        </w:rPr>
        <w:t>P-12</w:t>
      </w:r>
      <w:r>
        <w:rPr>
          <w:rFonts w:ascii="Times New Roman" w:hAnsi="Times New Roman"/>
          <w:color w:val="000000"/>
          <w:sz w:val="20"/>
        </w:rPr>
        <w:t xml:space="preserve"> </w:t>
      </w:r>
      <w:r>
        <w:rPr>
          <w:rFonts w:ascii="Arial" w:hAnsi="Arial"/>
          <w:b/>
          <w:color w:val="000000"/>
          <w:sz w:val="15"/>
        </w:rPr>
        <w:t>Property</w:t>
      </w:r>
      <w:r>
        <w:rPr>
          <w:rFonts w:ascii="Times New Roman" w:hAnsi="Times New Roman"/>
          <w:color w:val="000000"/>
          <w:sz w:val="20"/>
        </w:rPr>
        <w:t xml:space="preserve"> </w:t>
      </w:r>
      <w:r>
        <w:rPr>
          <w:rFonts w:ascii="Arial" w:hAnsi="Arial"/>
          <w:b/>
          <w:color w:val="000000"/>
          <w:sz w:val="15"/>
        </w:rPr>
        <w:t>LLC</w:t>
      </w:r>
    </w:p>
    <w:p>
      <w:pPr>
        <w:pStyle w:val="TextBody"/>
        <w:bidi w:val="0"/>
        <w:jc w:val="left"/>
        <w:rPr/>
      </w:pPr>
      <w:r>
        <w:rPr/>
        <w:t> </w:t>
      </w:r>
    </w:p>
    <w:p>
      <w:pPr>
        <w:pStyle w:val="TextBody"/>
        <w:bidi w:val="0"/>
        <w:jc w:val="left"/>
        <w:rPr/>
      </w:pPr>
      <w:r>
        <w:rPr/>
        <w:t> </w:t>
      </w:r>
    </w:p>
    <w:tbl>
      <w:tblPr>
        <w:tblW w:w="2190" w:type="dxa"/>
        <w:jc w:val="left"/>
        <w:tblInd w:w="0" w:type="dxa"/>
        <w:tblLayout w:type="fixed"/>
        <w:tblCellMar>
          <w:top w:w="28" w:type="dxa"/>
          <w:left w:w="28" w:type="dxa"/>
          <w:bottom w:w="28" w:type="dxa"/>
          <w:right w:w="28" w:type="dxa"/>
        </w:tblCellMar>
      </w:tblPr>
      <w:tblGrid>
        <w:gridCol w:w="1314"/>
        <w:gridCol w:w="876"/>
      </w:tblGrid>
      <w:tr>
        <w:trPr/>
        <w:tc>
          <w:tcPr>
            <w:tcW w:w="131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2190" w:type="dxa"/>
            <w:gridSpan w:val="2"/>
            <w:tcBorders>
              <w:top w:val="single" w:sz="4" w:space="0" w:color="000000"/>
              <w:left w:val="single" w:sz="4" w:space="0" w:color="000000"/>
              <w:bottom w:val="single" w:sz="4" w:space="0" w:color="000000"/>
              <w:right w:val="single" w:sz="4" w:space="0" w:color="000000"/>
            </w:tcBorders>
            <w:shd w:fill="D9E1F2" w:val="clear"/>
            <w:vAlign w:val="center"/>
          </w:tcPr>
          <w:p>
            <w:pPr>
              <w:pStyle w:val="TableContents"/>
              <w:bidi w:val="0"/>
              <w:spacing w:before="20" w:after="20"/>
              <w:jc w:val="left"/>
              <w:rPr>
                <w:rFonts w:ascii="Times New Roman" w:hAnsi="Times New Roman"/>
                <w:sz w:val="13"/>
              </w:rPr>
            </w:pPr>
            <w:r>
              <w:rPr>
                <w:rFonts w:ascii="Arial" w:hAnsi="Arial"/>
                <w:b/>
                <w:color w:val="000000"/>
                <w:sz w:val="13"/>
              </w:rPr>
              <w:t>Acknowledged</w:t>
            </w:r>
            <w:r>
              <w:rPr>
                <w:rFonts w:ascii="Times New Roman" w:hAnsi="Times New Roman"/>
                <w:color w:val="000000"/>
                <w:sz w:val="13"/>
              </w:rPr>
              <w:t xml:space="preserve"> </w:t>
            </w:r>
            <w:r>
              <w:rPr>
                <w:rFonts w:ascii="Arial" w:hAnsi="Arial"/>
                <w:b/>
                <w:color w:val="000000"/>
                <w:sz w:val="13"/>
              </w:rPr>
              <w:t>and</w:t>
            </w:r>
            <w:r>
              <w:rPr>
                <w:rFonts w:ascii="Times New Roman" w:hAnsi="Times New Roman"/>
                <w:color w:val="000000"/>
                <w:sz w:val="13"/>
              </w:rPr>
              <w:t xml:space="preserve"> </w:t>
            </w:r>
            <w:r>
              <w:rPr>
                <w:rFonts w:ascii="Arial" w:hAnsi="Arial"/>
                <w:b/>
                <w:color w:val="000000"/>
                <w:sz w:val="13"/>
              </w:rPr>
              <w:t>Agreed</w:t>
            </w:r>
            <w:r>
              <w:rPr>
                <w:rFonts w:ascii="Times New Roman" w:hAnsi="Times New Roman"/>
                <w:color w:val="000000"/>
                <w:sz w:val="13"/>
              </w:rPr>
              <w:t xml:space="preserve"> </w:t>
            </w:r>
            <w:r>
              <w:rPr>
                <w:rFonts w:ascii="Arial" w:hAnsi="Arial"/>
                <w:b/>
                <w:color w:val="000000"/>
                <w:sz w:val="13"/>
              </w:rPr>
              <w:t>to</w:t>
            </w:r>
            <w:r>
              <w:rPr>
                <w:rFonts w:ascii="Times New Roman" w:hAnsi="Times New Roman"/>
                <w:color w:val="000000"/>
                <w:sz w:val="13"/>
              </w:rPr>
              <w:t xml:space="preserve"> </w:t>
            </w:r>
            <w:r>
              <w:rPr>
                <w:rFonts w:ascii="Arial" w:hAnsi="Arial"/>
                <w:b/>
                <w:color w:val="000000"/>
                <w:sz w:val="13"/>
              </w:rPr>
              <w:t>by:</w:t>
            </w:r>
          </w:p>
        </w:tc>
      </w:tr>
      <w:tr>
        <w:trPr/>
        <w:tc>
          <w:tcPr>
            <w:tcW w:w="2190" w:type="dxa"/>
            <w:gridSpan w:val="2"/>
            <w:tcBorders/>
            <w:vAlign w:val="center"/>
          </w:tcPr>
          <w:p>
            <w:pPr>
              <w:pStyle w:val="TableContents"/>
              <w:bidi w:val="0"/>
              <w:spacing w:before="0" w:after="283"/>
              <w:jc w:val="left"/>
              <w:rPr>
                <w:rFonts w:ascii="Times New Roman" w:hAnsi="Times New Roman"/>
                <w:sz w:val="13"/>
              </w:rPr>
            </w:pPr>
            <w:r>
              <w:rPr>
                <w:rFonts w:ascii="Arial" w:hAnsi="Arial"/>
                <w:b/>
                <w:color w:val="000000"/>
                <w:sz w:val="13"/>
              </w:rPr>
              <w:t>CarGurus,</w:t>
            </w:r>
            <w:r>
              <w:rPr>
                <w:rFonts w:ascii="Times New Roman" w:hAnsi="Times New Roman"/>
                <w:color w:val="000000"/>
                <w:sz w:val="13"/>
              </w:rPr>
              <w:t xml:space="preserve"> </w:t>
            </w:r>
            <w:r>
              <w:rPr>
                <w:rFonts w:ascii="Arial" w:hAnsi="Arial"/>
                <w:b/>
                <w:color w:val="000000"/>
                <w:sz w:val="13"/>
              </w:rPr>
              <w:t>Inc.</w:t>
            </w:r>
          </w:p>
        </w:tc>
      </w:tr>
      <w:tr>
        <w:trPr/>
        <w:tc>
          <w:tcPr>
            <w:tcW w:w="1314"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r>
      <w:tr>
        <w:trPr/>
        <w:tc>
          <w:tcPr>
            <w:tcW w:w="1314"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r>
      <w:tr>
        <w:trPr/>
        <w:tc>
          <w:tcPr>
            <w:tcW w:w="219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x /s/ Brandon Morrill</w:t>
            </w:r>
          </w:p>
        </w:tc>
      </w:tr>
      <w:tr>
        <w:trPr/>
        <w:tc>
          <w:tcPr>
            <w:tcW w:w="2190" w:type="dxa"/>
            <w:gridSpan w:val="2"/>
            <w:tcBorders/>
            <w:vAlign w:val="center"/>
          </w:tcPr>
          <w:p>
            <w:pPr>
              <w:pStyle w:val="TableContents"/>
              <w:bidi w:val="0"/>
              <w:spacing w:before="0" w:after="283"/>
              <w:jc w:val="left"/>
              <w:rPr>
                <w:rFonts w:ascii="Arial" w:hAnsi="Arial"/>
                <w:color w:val="000000"/>
                <w:sz w:val="13"/>
              </w:rPr>
            </w:pPr>
            <w:r>
              <w:rPr>
                <w:rFonts w:ascii="Arial" w:hAnsi="Arial"/>
                <w:color w:val="000000"/>
                <w:sz w:val="13"/>
              </w:rPr>
              <w:t>Signtature</w:t>
            </w:r>
          </w:p>
        </w:tc>
      </w:tr>
      <w:tr>
        <w:trPr/>
        <w:tc>
          <w:tcPr>
            <w:tcW w:w="1314"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r>
      <w:tr>
        <w:trPr/>
        <w:tc>
          <w:tcPr>
            <w:tcW w:w="1314"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r>
      <w:tr>
        <w:trPr/>
        <w:tc>
          <w:tcPr>
            <w:tcW w:w="131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Brandon Morrill</w:t>
            </w:r>
          </w:p>
        </w:tc>
        <w:tc>
          <w:tcPr>
            <w:tcW w:w="8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5/3/2024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7" w:after="283"/>
        <w:jc w:val="right"/>
        <w:rPr>
          <w:rFonts w:ascii="Times New Roman" w:hAnsi="Times New Roman"/>
          <w:b/>
          <w:color w:val="000000"/>
          <w:sz w:val="24"/>
          <w:u w:val="single"/>
        </w:rPr>
      </w:pPr>
      <w:bookmarkStart w:id="34" w:name="carg-ex10_3.htm"/>
      <w:bookmarkStart w:id="35" w:name="kscargex10_3"/>
      <w:bookmarkEnd w:id="34"/>
      <w:bookmarkEnd w:id="35"/>
      <w:r>
        <w:rPr>
          <w:rFonts w:ascii="Times New Roman" w:hAnsi="Times New Roman"/>
          <w:b/>
          <w:color w:val="000000"/>
          <w:sz w:val="24"/>
          <w:u w:val="single"/>
        </w:rPr>
        <w:t>Exhibit 10.3</w:t>
      </w:r>
      <w:r>
        <w:br w:type="page"/>
      </w:r>
    </w:p>
    <w:p>
      <w:pPr>
        <w:pStyle w:val="TextBody"/>
        <w:bidi w:val="0"/>
        <w:spacing w:before="77" w:after="283"/>
        <w:jc w:val="center"/>
        <w:rPr/>
      </w:pPr>
      <w:r>
        <w:rPr/>
        <w:t> </w:t>
      </w:r>
    </w:p>
    <w:p>
      <w:pPr>
        <w:pStyle w:val="TextBody"/>
        <w:bidi w:val="0"/>
        <w:spacing w:before="77" w:after="283"/>
        <w:jc w:val="center"/>
        <w:rPr>
          <w:rFonts w:ascii="Times New Roman" w:hAnsi="Times New Roman"/>
          <w:b/>
          <w:color w:val="000000"/>
          <w:sz w:val="24"/>
          <w:u w:val="single"/>
        </w:rPr>
      </w:pPr>
      <w:r>
        <w:rPr>
          <w:rFonts w:ascii="Times New Roman" w:hAnsi="Times New Roman"/>
          <w:b/>
          <w:color w:val="000000"/>
          <w:sz w:val="24"/>
          <w:u w:val="single"/>
        </w:rPr>
        <w:t>SECOND AMENDMENT TO SUBLEASE</w:t>
      </w:r>
    </w:p>
    <w:p>
      <w:pPr>
        <w:pStyle w:val="TextBody"/>
        <w:bidi w:val="0"/>
        <w:spacing w:before="77"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 xml:space="preserve">SECOND AMENDMENT TO SUBLEASE </w:t>
      </w:r>
      <w:r>
        <w:rPr>
          <w:rFonts w:ascii="Times New Roman" w:hAnsi="Times New Roman"/>
          <w:color w:val="000000"/>
          <w:sz w:val="24"/>
        </w:rPr>
        <w:t>(this “</w:t>
      </w:r>
      <w:r>
        <w:rPr>
          <w:rFonts w:ascii="Times New Roman" w:hAnsi="Times New Roman"/>
          <w:b/>
          <w:color w:val="000000"/>
          <w:sz w:val="24"/>
        </w:rPr>
        <w:t>Second Amendment</w:t>
      </w:r>
      <w:r>
        <w:rPr>
          <w:rFonts w:ascii="Times New Roman" w:hAnsi="Times New Roman"/>
          <w:color w:val="000000"/>
          <w:sz w:val="20"/>
        </w:rPr>
        <w:t>”</w:t>
      </w:r>
      <w:r>
        <w:rPr>
          <w:rFonts w:ascii="Times New Roman" w:hAnsi="Times New Roman"/>
          <w:color w:val="000000"/>
          <w:sz w:val="24"/>
        </w:rPr>
        <w:t>) is entered into as of the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April, 2024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HUBSPOT, INC., a Delaware corporation (“</w:t>
      </w:r>
      <w:r>
        <w:rPr>
          <w:rFonts w:ascii="Times New Roman" w:hAnsi="Times New Roman"/>
          <w:b/>
          <w:color w:val="000000"/>
          <w:sz w:val="24"/>
        </w:rPr>
        <w:t>Sublandlord</w:t>
      </w:r>
      <w:r>
        <w:rPr>
          <w:rFonts w:ascii="Times New Roman" w:hAnsi="Times New Roman"/>
          <w:color w:val="000000"/>
          <w:sz w:val="20"/>
        </w:rPr>
        <w:t>”</w:t>
      </w:r>
      <w:r>
        <w:rPr>
          <w:rFonts w:ascii="Times New Roman" w:hAnsi="Times New Roman"/>
          <w:color w:val="000000"/>
          <w:sz w:val="24"/>
        </w:rPr>
        <w:t>), and CARGURUS, INC., a Delaware corporation (“</w:t>
      </w:r>
      <w:r>
        <w:rPr>
          <w:rFonts w:ascii="Times New Roman" w:hAnsi="Times New Roman"/>
          <w:b/>
          <w:color w:val="000000"/>
          <w:sz w:val="24"/>
        </w:rPr>
        <w:t>Subtenant</w:t>
      </w:r>
      <w:r>
        <w:rPr>
          <w:rFonts w:ascii="Times New Roman" w:hAnsi="Times New Roman"/>
          <w:color w:val="000000"/>
          <w:sz w:val="20"/>
        </w:rPr>
        <w:t>”</w:t>
      </w:r>
      <w:r>
        <w:rPr>
          <w:rFonts w:ascii="Times New Roman" w:hAnsi="Times New Roman"/>
          <w:color w:val="000000"/>
          <w:sz w:val="24"/>
        </w:rPr>
        <w:t>).</w:t>
      </w:r>
    </w:p>
    <w:p>
      <w:pPr>
        <w:pStyle w:val="TextBody"/>
        <w:bidi w:val="0"/>
        <w:spacing w:before="234" w:after="283"/>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238"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Sublandlord and Subtenant entered into that certain Sublease dated as of October 6, 2021 (the “</w:t>
      </w:r>
      <w:r>
        <w:rPr>
          <w:rFonts w:ascii="Times New Roman" w:hAnsi="Times New Roman"/>
          <w:b/>
          <w:color w:val="000000"/>
          <w:sz w:val="24"/>
        </w:rPr>
        <w:t>Original Sublease</w:t>
      </w:r>
      <w:r>
        <w:rPr>
          <w:rFonts w:ascii="Times New Roman" w:hAnsi="Times New Roman"/>
          <w:color w:val="000000"/>
          <w:sz w:val="20"/>
        </w:rPr>
        <w:t>”</w:t>
      </w:r>
      <w:r>
        <w:rPr>
          <w:rFonts w:ascii="Times New Roman" w:hAnsi="Times New Roman"/>
          <w:color w:val="000000"/>
          <w:sz w:val="24"/>
        </w:rPr>
        <w:t>), as amended by that certain First Amendment to Sublease dated as of July 31, 2022 (the “</w:t>
      </w:r>
      <w:r>
        <w:rPr>
          <w:rFonts w:ascii="Times New Roman" w:hAnsi="Times New Roman"/>
          <w:b/>
          <w:color w:val="000000"/>
          <w:sz w:val="24"/>
        </w:rPr>
        <w:t>First Amendment</w:t>
      </w:r>
      <w:r>
        <w:rPr>
          <w:rFonts w:ascii="Times New Roman" w:hAnsi="Times New Roman"/>
          <w:color w:val="000000"/>
          <w:sz w:val="20"/>
        </w:rPr>
        <w:t>”</w:t>
      </w:r>
      <w:r>
        <w:rPr>
          <w:rFonts w:ascii="Times New Roman" w:hAnsi="Times New Roman"/>
          <w:color w:val="000000"/>
          <w:sz w:val="24"/>
        </w:rPr>
        <w:t>; the Original Sublease, as amended by the First Amendment, the “</w:t>
      </w:r>
      <w:r>
        <w:rPr>
          <w:rFonts w:ascii="Times New Roman" w:hAnsi="Times New Roman"/>
          <w:b/>
          <w:color w:val="000000"/>
          <w:sz w:val="24"/>
        </w:rPr>
        <w:t>Sublease</w:t>
      </w:r>
      <w:r>
        <w:rPr>
          <w:rFonts w:ascii="Times New Roman" w:hAnsi="Times New Roman"/>
          <w:color w:val="000000"/>
          <w:sz w:val="20"/>
        </w:rPr>
        <w:t>”</w:t>
      </w:r>
      <w:r>
        <w:rPr>
          <w:rFonts w:ascii="Times New Roman" w:hAnsi="Times New Roman"/>
          <w:color w:val="000000"/>
          <w:sz w:val="24"/>
        </w:rPr>
        <w:t>) whereby Subtenant leases from Sublandlord certain premises consisting of approximately 48,059 rentable square feet located on the fourth (4</w:t>
      </w:r>
      <w:r>
        <w:rPr>
          <w:rFonts w:ascii="Times New Roman" w:hAnsi="Times New Roman"/>
          <w:color w:val="000000"/>
          <w:sz w:val="16"/>
        </w:rPr>
        <w:t>th</w:t>
      </w:r>
      <w:r>
        <w:rPr>
          <w:rFonts w:ascii="Times New Roman" w:hAnsi="Times New Roman"/>
          <w:color w:val="000000"/>
          <w:sz w:val="24"/>
        </w:rPr>
        <w:t>) floor of the building commonly known as Two Canal Park, Cambridge, Massachusetts; and</w:t>
      </w:r>
    </w:p>
    <w:p>
      <w:pPr>
        <w:pStyle w:val="TextBody"/>
        <w:bidi w:val="0"/>
        <w:spacing w:before="237"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Sublease Term is currently scheduled to expire on April 30, 2024 (the “</w:t>
      </w:r>
      <w:r>
        <w:rPr>
          <w:rFonts w:ascii="Times New Roman" w:hAnsi="Times New Roman"/>
          <w:b/>
          <w:color w:val="000000"/>
          <w:sz w:val="24"/>
        </w:rPr>
        <w:t>Sublease Expiration Date</w:t>
      </w:r>
      <w:r>
        <w:rPr>
          <w:rFonts w:ascii="Times New Roman" w:hAnsi="Times New Roman"/>
          <w:color w:val="000000"/>
          <w:sz w:val="20"/>
        </w:rPr>
        <w:t>”</w:t>
      </w:r>
      <w:r>
        <w:rPr>
          <w:rFonts w:ascii="Times New Roman" w:hAnsi="Times New Roman"/>
          <w:color w:val="000000"/>
          <w:sz w:val="24"/>
        </w:rPr>
        <w:t>); and</w:t>
      </w:r>
    </w:p>
    <w:p>
      <w:pPr>
        <w:pStyle w:val="TextBody"/>
        <w:bidi w:val="0"/>
        <w:spacing w:before="224"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Sublandlord and Subtenant desire to amend the Sublease on the terms and conditions set forth herein.</w:t>
      </w:r>
    </w:p>
    <w:p>
      <w:pPr>
        <w:pStyle w:val="TextBody"/>
        <w:bidi w:val="0"/>
        <w:spacing w:before="228" w:after="283"/>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238" w:after="283"/>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contained herein and other good and valuable consideration, the receipt and sufficiency of which are hereby acknowledged, the parties agree as follows:</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240" w:after="283"/>
        <w:jc w:val="both"/>
        <w:rPr/>
      </w:pPr>
      <w:r>
        <w:rPr>
          <w:rFonts w:ascii="Times New Roman" w:hAnsi="Times New Roman"/>
          <w:color w:val="000000"/>
          <w:sz w:val="24"/>
          <w:u w:val="single"/>
        </w:rPr>
        <w:t>Sublease Term and Parking</w:t>
      </w:r>
      <w:r>
        <w:rPr>
          <w:rFonts w:ascii="Times New Roman" w:hAnsi="Times New Roman"/>
          <w:color w:val="000000"/>
          <w:sz w:val="24"/>
        </w:rPr>
        <w:t>. The parties hereby agree that the Sublease shall terminate with respect to the Subleased Premises (only) on the Sublease Expiration Date. Notwithstanding the foregoing sentence, Subtenant shall continue to have the right to use and the obligation to pay for twenty-nine (29) Parking Passes for the period commencing at 12:01 AM (Eastern) on May 1, 2024 and expiring at 11:59 PM (Eastern) on September 30, 2024 (the “</w:t>
      </w:r>
      <w:r>
        <w:rPr>
          <w:rFonts w:ascii="Times New Roman" w:hAnsi="Times New Roman"/>
          <w:b/>
          <w:color w:val="000000"/>
          <w:sz w:val="24"/>
        </w:rPr>
        <w:t>Extended Parking Period</w:t>
      </w:r>
      <w:r>
        <w:rPr>
          <w:color w:val="000000"/>
        </w:rPr>
        <w:t>”</w:t>
      </w:r>
      <w:r>
        <w:rPr>
          <w:rFonts w:ascii="Times New Roman" w:hAnsi="Times New Roman"/>
          <w:color w:val="000000"/>
          <w:sz w:val="24"/>
        </w:rPr>
        <w:t>). The Parking Passes shall be paid for by Subtenant at the then-current prevailing rate at the Garage as established by the Master Landlord or the Garage Operator, as such rate may vary from time to time. Sublandlord hereby represents to Subtenant that, as of the Effective Date set forth above, the charge for Parking Passes is Two Hundred Fifty and 00/100 Dollars ($250.00) per calendar month, per pass, subject to increase from time to time, and payment shall be for full months (and not on a pro rata or per diem basis). To the extent applicable to Subtenant’s use of and obligation to pay for the Parking Passes during the Extended Parking Period, the terms and provisions of Sections 6, 8, 9, 12, 14, 15, 18, 19, 20, and 22 of the Original Sublease shall continue in full force and effect until the Extended Parking Period expires. Throughout the Extended Parking Period, Subtenant and its employees shall, subject to Master Landlord’s security program for the Building, continue to have twenty-four (24) hour access (except in the event of emergency) to the Garage and those portions of the Common Areas of the Building necessary to access the Garage (the “</w:t>
      </w:r>
      <w:r>
        <w:rPr>
          <w:rFonts w:ascii="Times New Roman" w:hAnsi="Times New Roman"/>
          <w:b/>
          <w:color w:val="000000"/>
          <w:sz w:val="24"/>
        </w:rPr>
        <w:t>Parking Areas</w:t>
      </w:r>
      <w:r>
        <w:rPr>
          <w:color w:val="000000"/>
        </w:rPr>
        <w:t>”</w:t>
      </w:r>
      <w:r>
        <w:rPr>
          <w:rFonts w:ascii="Times New Roman" w:hAnsi="Times New Roman"/>
          <w:color w:val="000000"/>
          <w:sz w:val="24"/>
        </w:rPr>
        <w:t xml:space="preserve">); provided, however, that Subtenant’s right to use the twenty-nine (29) Parking Passes and such rights of access shall neither (a) extend the Sublease Term with respect to the Sublease Premises, nor (b) extend Subtenant’s rights or obligations relating to the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Subleased Premises, nor (c) constitute Subtenant holdover of the Subleased Premises. Throughout the Extended Parking Period, Subtenant’s insurance and indemnity obligations under the Sublease as to the Parking Areas shall continue to apply to Subtenant’s use of the twenty-nine (29) Parking Passes (for the avoidance of doubt, the first sentence of Section 14 of the Original Lease is hereby amended by adding the phrase “and the Parking Areas” immediately after the phrase “for the Subleased Premises”). Notwithstanding anything to the contrary contained in this Section 1, Sublandlord may terminate the Extended Parking Period effective on or after July 31, 2024, by serving Subtenant with not less than thirty (30) days’ prior written notice to that effect, whereupon Subtenant’s obligation to pay for the twenty-nine (29) Parking Passes shall cease as of the effective date of termination.</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240" w:after="283"/>
        <w:jc w:val="both"/>
        <w:rPr/>
      </w:pPr>
      <w:r>
        <w:rPr>
          <w:rFonts w:ascii="Times New Roman" w:hAnsi="Times New Roman"/>
          <w:color w:val="000000"/>
          <w:sz w:val="24"/>
          <w:u w:val="single"/>
        </w:rPr>
        <w:t>Surrender</w:t>
      </w:r>
      <w:r>
        <w:rPr>
          <w:rFonts w:ascii="Times New Roman" w:hAnsi="Times New Roman"/>
          <w:color w:val="000000"/>
          <w:sz w:val="24"/>
        </w:rPr>
        <w:t>. Section 17(a) of the Original Sublease is hereby deleted in its entirety and replaced by the following:</w:t>
      </w:r>
    </w:p>
    <w:p>
      <w:pPr>
        <w:pStyle w:val="TextBody"/>
        <w:bidi w:val="0"/>
        <w:spacing w:before="240" w:after="283"/>
        <w:jc w:val="both"/>
        <w:rPr/>
      </w:pPr>
      <w:r>
        <w:rPr>
          <w:color w:val="000000"/>
        </w:rPr>
        <w:t>“</w:t>
      </w:r>
      <w:r>
        <w:rPr>
          <w:rFonts w:ascii="Times New Roman" w:hAnsi="Times New Roman"/>
          <w:color w:val="000000"/>
          <w:sz w:val="24"/>
        </w:rPr>
        <w:t>(a) At the expiration or earlier termination of the Sublease, Subtenant shall quit and surrender the Subleased Premises in vacant, broom clean condition, damage by casualty excepted. Without limitation of any of the foregoing, Subtenant shall on or before the expiration or earlier termination of the Sublease (i) remove all of Subtenant’s personal property, including Subtenant’s so-called license plate wall, all Subtenant identity signage, and all art fixtures (provided that Subtenant shall not be required to remove its wiring and cabling); and (ii) remove all trash and broom sweep the Subleased Premises. Subtenant shall repair all damage to the Subleased Premises resulting from the removal of such personal property, including patching and filling holes. Notwithstanding the immediately preceding two (2) sentences, all furniture, fixtures and equipment located in the Subleased Premises upon the expiration or earlier termination of the Sublease, including without limitation, all workstations, desks, chairs, A/V equipment, couches, refrigerators, microwave ovens, and freezers (collectively, the “</w:t>
      </w:r>
      <w:r>
        <w:rPr>
          <w:rFonts w:ascii="Times New Roman" w:hAnsi="Times New Roman"/>
          <w:b/>
          <w:color w:val="000000"/>
          <w:sz w:val="24"/>
        </w:rPr>
        <w:t>Remaining Property</w:t>
      </w:r>
      <w:r>
        <w:rPr>
          <w:rFonts w:ascii="Times New Roman" w:hAnsi="Times New Roman"/>
          <w:color w:val="000000"/>
          <w:sz w:val="20"/>
        </w:rPr>
        <w:t>”</w:t>
      </w:r>
      <w:r>
        <w:rPr>
          <w:rFonts w:ascii="Times New Roman" w:hAnsi="Times New Roman"/>
          <w:color w:val="000000"/>
          <w:sz w:val="24"/>
        </w:rPr>
        <w:t>) shall, without the necessity of further action by the parties, become the property of Sublandlord in their “as is” “where is” condition at such time, without representation or warranty by Subtenant. Upon Sublandlord’s request, Subtenant shall execute and deliver to Sublandlord a bill of sale confirming the transfer of ownership of the Remaining Property upon the foregoing terms and conditions, but any failure to do so shall not affect such transfer. If any personal property of Subtenant other than the Remaining Property shall remain in the Subleased Premises after the termination of this Sublease, then, at the election of Sublandlord, (x) such property shall be deemed to have been abandoned by Subtenant and may be retained by Sublandlord as its own property; or (y) such property may be removed and disposed of by Sublandlord at the expense of Subtenant. Subtenant’s obligation to observe or perform under this Section 17 shall survive the expiration or earlier termination of this Sublease.”</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Sublandlord acknowledges and agrees that the current notice addresses for Subtenant under the Sublease are as follows (subject to future change in the manner more particularly provided in Section 19 of the Original Sublease) and replace the prior notice addresses for Subtenant in effect under the Sublease: CarGurus, Inc., 55 Cambridge Parkway, 6</w:t>
      </w:r>
      <w:r>
        <w:rPr>
          <w:rFonts w:ascii="Times New Roman" w:hAnsi="Times New Roman"/>
          <w:color w:val="000000"/>
          <w:sz w:val="16"/>
        </w:rPr>
        <w:t>th</w:t>
      </w:r>
      <w:r>
        <w:rPr>
          <w:color w:val="000000"/>
        </w:rPr>
        <w:t xml:space="preserve"> </w:t>
      </w:r>
      <w:r>
        <w:rPr>
          <w:rFonts w:ascii="Times New Roman" w:hAnsi="Times New Roman"/>
          <w:color w:val="000000"/>
          <w:sz w:val="24"/>
        </w:rPr>
        <w:t>Floor, Cambridge, MA 02142, Attention: Director of Real Estate, with copies to CarGurus, Inc., 55 Cambridge Parkway, 6</w:t>
      </w:r>
      <w:r>
        <w:rPr>
          <w:rFonts w:ascii="Times New Roman" w:hAnsi="Times New Roman"/>
          <w:color w:val="000000"/>
          <w:sz w:val="16"/>
        </w:rPr>
        <w:t>th</w:t>
      </w:r>
      <w:r>
        <w:rPr>
          <w:color w:val="000000"/>
        </w:rPr>
        <w:t xml:space="preserve"> </w:t>
      </w:r>
      <w:r>
        <w:rPr>
          <w:rFonts w:ascii="Times New Roman" w:hAnsi="Times New Roman"/>
          <w:color w:val="000000"/>
          <w:sz w:val="24"/>
        </w:rPr>
        <w:t>Floor, Cambridge, MA 02142, Attention : General Counsel, and Dain, Torpy, Le Ray, Wiest &amp; Garner, P.C., 175 Federal Street, 15</w:t>
      </w:r>
      <w:r>
        <w:rPr>
          <w:rFonts w:ascii="Times New Roman" w:hAnsi="Times New Roman"/>
          <w:color w:val="000000"/>
          <w:sz w:val="16"/>
        </w:rPr>
        <w:t>th</w:t>
      </w:r>
      <w:r>
        <w:rPr>
          <w:color w:val="000000"/>
        </w:rPr>
        <w:t xml:space="preserve"> </w:t>
      </w:r>
      <w:r>
        <w:rPr>
          <w:rFonts w:ascii="Times New Roman" w:hAnsi="Times New Roman"/>
          <w:color w:val="000000"/>
          <w:sz w:val="24"/>
        </w:rPr>
        <w:t>Floor, Boston, MA 02110, Attention: CarGurus.</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240" w:after="283"/>
        <w:jc w:val="both"/>
        <w:rPr/>
      </w:pPr>
      <w:r>
        <w:rPr>
          <w:rFonts w:ascii="Times New Roman" w:hAnsi="Times New Roman"/>
          <w:color w:val="000000"/>
          <w:sz w:val="24"/>
          <w:u w:val="single"/>
        </w:rPr>
        <w:t>Master Landlord Consent to Amendment</w:t>
      </w:r>
      <w:r>
        <w:rPr>
          <w:rFonts w:ascii="Times New Roman" w:hAnsi="Times New Roman"/>
          <w:color w:val="000000"/>
          <w:sz w:val="24"/>
        </w:rPr>
        <w:t xml:space="preserve">. This Second Amendment is subject to and conditioned upon Sublandlord obtaining the written consent of Master Landlord hereto. Notwithstanding anything in this Second Amendment to the contrary, this Second Amendment shall be of no force or effect whatsoever, or be binding in any way, unless and until Master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Landlord has given its written consent to this Second Amendment in accordance with the terms of the Master Lease.</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240" w:after="283"/>
        <w:jc w:val="both"/>
        <w:rPr/>
      </w:pPr>
      <w:r>
        <w:rPr>
          <w:rFonts w:ascii="Times New Roman" w:hAnsi="Times New Roman"/>
          <w:color w:val="000000"/>
          <w:sz w:val="24"/>
          <w:u w:val="single"/>
        </w:rPr>
        <w:t>No Brokers</w:t>
      </w:r>
      <w:r>
        <w:rPr>
          <w:rFonts w:ascii="Times New Roman" w:hAnsi="Times New Roman"/>
          <w:color w:val="000000"/>
          <w:sz w:val="24"/>
        </w:rPr>
        <w:t>. Each party represents to the other that it has not dealt with any real estate broker, finder, or other person with respect to this Second Amendment in any manner. Each party shall hold harmless the other party from all damages resulting from any claims that may be asserted against the other party by any broker, finder, or other person with whom the indemnifying party has or purportedly has dealt.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240" w:after="283"/>
        <w:jc w:val="both"/>
        <w:rPr/>
      </w:pPr>
      <w:r>
        <w:rPr>
          <w:rFonts w:ascii="Times New Roman" w:hAnsi="Times New Roman"/>
          <w:color w:val="000000"/>
          <w:sz w:val="24"/>
          <w:u w:val="single"/>
        </w:rPr>
        <w:t>Capitalized Terms</w:t>
      </w:r>
      <w:r>
        <w:rPr>
          <w:rFonts w:ascii="Times New Roman" w:hAnsi="Times New Roman"/>
          <w:color w:val="000000"/>
          <w:sz w:val="24"/>
        </w:rPr>
        <w:t>. All capitalized terms used in this Second Amendment that are not defined in this Second Amendment shall have the meanings ascribed to such terms in the Sublease. In the event of any conflict between the terms of the Sublease and the terms of this Second Amendment, the terms of this Second Amendment shall govern and control.</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240" w:after="283"/>
        <w:jc w:val="both"/>
        <w:rPr/>
      </w:pPr>
      <w:r>
        <w:rPr>
          <w:rFonts w:ascii="Times New Roman" w:hAnsi="Times New Roman"/>
          <w:color w:val="000000"/>
          <w:sz w:val="24"/>
          <w:u w:val="single"/>
        </w:rPr>
        <w:t>Ratification</w:t>
      </w:r>
      <w:r>
        <w:rPr>
          <w:rFonts w:ascii="Times New Roman" w:hAnsi="Times New Roman"/>
          <w:color w:val="000000"/>
          <w:sz w:val="24"/>
        </w:rPr>
        <w:t>. Other than as expressly set forth herein, the terms and provisions of the Sublease are hereby ratified and confirmed and shall remain unmodified and in full force and effect.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This Second Amendment sets forth the entire understanding and agreement of the parties in connection with the subject matter hereof. Neither of the parties hereto has made any statement, representation, or warranty in connection herewith which has been relied upon by any other party hereto, or which has been an inducement for any party to enter into this Second Amendment, except as expressly set forth herein.</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240" w:after="283"/>
        <w:jc w:val="both"/>
        <w:rPr/>
      </w:pPr>
      <w:r>
        <w:rPr>
          <w:rFonts w:ascii="Times New Roman" w:hAnsi="Times New Roman"/>
          <w:color w:val="000000"/>
          <w:sz w:val="24"/>
          <w:u w:val="single"/>
        </w:rPr>
        <w:t>Authority</w:t>
      </w:r>
      <w:r>
        <w:rPr>
          <w:rFonts w:ascii="Times New Roman" w:hAnsi="Times New Roman"/>
          <w:color w:val="000000"/>
          <w:sz w:val="24"/>
        </w:rPr>
        <w:t>. Each of the parties represents and warrants to the other party that it has full power and authority to enter into this Second Amendment.</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240" w:after="283"/>
        <w:jc w:val="both"/>
        <w:rPr/>
      </w:pPr>
      <w:r>
        <w:rPr>
          <w:rFonts w:ascii="Times New Roman" w:hAnsi="Times New Roman"/>
          <w:color w:val="000000"/>
          <w:sz w:val="24"/>
          <w:u w:val="single"/>
        </w:rPr>
        <w:t>Binding Effect</w:t>
      </w:r>
      <w:r>
        <w:rPr>
          <w:rFonts w:ascii="Times New Roman" w:hAnsi="Times New Roman"/>
          <w:color w:val="000000"/>
          <w:sz w:val="24"/>
        </w:rPr>
        <w:t>. This Second Amendment shall be binding on and inure to the benefit of the respective parties, their respective legal successors, heirs, administrators, and assigns, and each of them, except as expressly stated herein.</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240" w:after="283"/>
        <w:jc w:val="both"/>
        <w:rPr/>
      </w:pPr>
      <w:r>
        <w:rPr>
          <w:rFonts w:ascii="Times New Roman" w:hAnsi="Times New Roman"/>
          <w:color w:val="000000"/>
          <w:sz w:val="24"/>
          <w:u w:val="single"/>
        </w:rPr>
        <w:t>Amendment</w:t>
      </w:r>
      <w:r>
        <w:rPr>
          <w:rFonts w:ascii="Times New Roman" w:hAnsi="Times New Roman"/>
          <w:color w:val="000000"/>
          <w:sz w:val="24"/>
        </w:rPr>
        <w:t>. It is expressly understood and agreed that this Second Amendment may not be altered, amended, modified, or otherwise changed in any respect whatsoever, except by a writing duly executed by the parties hereto. The parties agree that they will make no claim at any time that this Second Amendment has been altered or modified or otherwise changed by oral communication of any kind or character.</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240" w:after="283"/>
        <w:jc w:val="both"/>
        <w:rPr/>
      </w:pPr>
      <w:r>
        <w:rPr>
          <w:rFonts w:ascii="Times New Roman" w:hAnsi="Times New Roman"/>
          <w:color w:val="000000"/>
          <w:sz w:val="24"/>
          <w:u w:val="single"/>
        </w:rPr>
        <w:t>Counterparts and Delivery</w:t>
      </w:r>
      <w:r>
        <w:rPr>
          <w:rFonts w:ascii="Times New Roman" w:hAnsi="Times New Roman"/>
          <w:color w:val="000000"/>
          <w:sz w:val="24"/>
        </w:rPr>
        <w:t>. This Second Amendment may be executed in counterparts, which together shall constitute a fully executed Second Amendment to the same effect as if the parties had executed the same original document. The parties acknowledge and agree that they will accept faxed transmissions of, or electronically scanned and transmitted versions of, an original signature. In addition, the parties acknowledge and agree that they may conduct this transaction by electronic means and that this Second Amendment may be executed by electronic signature, which shall be considered as an original signature for all purposes and shall have the same force and effect as an original signature.</w:t>
      </w:r>
    </w:p>
    <w:p>
      <w:pPr>
        <w:pStyle w:val="TextBody"/>
        <w:bidi w:val="0"/>
        <w:spacing w:before="240" w:after="283"/>
        <w:jc w:val="left"/>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240" w:after="283"/>
        <w:jc w:val="left"/>
        <w:rPr/>
      </w:pPr>
      <w:r>
        <w:rPr>
          <w:rFonts w:ascii="Times New Roman" w:hAnsi="Times New Roman"/>
          <w:color w:val="000000"/>
          <w:sz w:val="24"/>
          <w:u w:val="single"/>
        </w:rPr>
        <w:t>Governing Law</w:t>
      </w:r>
      <w:r>
        <w:rPr>
          <w:rFonts w:ascii="Times New Roman" w:hAnsi="Times New Roman"/>
          <w:color w:val="000000"/>
          <w:sz w:val="24"/>
        </w:rPr>
        <w:t>. This Second Amendment shall be governed by, construed, and enforced in accordance with the laws of the Commonwealth of Massachusetts.</w:t>
      </w:r>
    </w:p>
    <w:p>
      <w:pPr>
        <w:pStyle w:val="TextBody"/>
        <w:bidi w:val="0"/>
        <w:spacing w:before="82"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[No further text on this page; signature page immediately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 w:after="283"/>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have executed this Second Amendment under seal as of the Effective Date.</w:t>
      </w:r>
    </w:p>
    <w:p>
      <w:pPr>
        <w:pStyle w:val="TextBody"/>
        <w:bidi w:val="0"/>
        <w:spacing w:before="246" w:after="283"/>
        <w:jc w:val="left"/>
        <w:rPr>
          <w:rFonts w:ascii="Times New Roman" w:hAnsi="Times New Roman"/>
          <w:sz w:val="20"/>
        </w:rPr>
      </w:pPr>
      <w:r>
        <w:rPr>
          <w:rFonts w:ascii="Times New Roman" w:hAnsi="Times New Roman"/>
          <w:b/>
          <w:color w:val="000000"/>
          <w:sz w:val="24"/>
        </w:rPr>
        <w:t>SUBLANDLORD</w:t>
      </w:r>
      <w:r>
        <w:rPr>
          <w:rFonts w:ascii="Times New Roman" w:hAnsi="Times New Roman"/>
          <w:color w:val="000000"/>
          <w:sz w:val="24"/>
        </w:rPr>
        <w:t>: HUBSPOT, INC.,</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a Delaware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John Hart </w:t>
      </w:r>
    </w:p>
    <w:p>
      <w:pPr>
        <w:pStyle w:val="TextBody"/>
        <w:bidi w:val="0"/>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John Hart </w:t>
      </w:r>
    </w:p>
    <w:p>
      <w:pPr>
        <w:pStyle w:val="TextBody"/>
        <w:bidi w:val="0"/>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 xml:space="preserve">Facilities Manager </w:t>
      </w:r>
    </w:p>
    <w:p>
      <w:pPr>
        <w:pStyle w:val="TextBody"/>
        <w:bidi w:val="0"/>
        <w:jc w:val="left"/>
        <w:rPr/>
      </w:pPr>
      <w:r>
        <w:rPr/>
        <w:t> </w:t>
      </w:r>
    </w:p>
    <w:p>
      <w:pPr>
        <w:pStyle w:val="TextBody"/>
        <w:bidi w:val="0"/>
        <w:spacing w:before="54"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SUBTENANT:</w:t>
      </w:r>
    </w:p>
    <w:p>
      <w:pPr>
        <w:pStyle w:val="TextBody"/>
        <w:bidi w:val="0"/>
        <w:spacing w:before="233" w:after="283"/>
        <w:jc w:val="left"/>
        <w:rPr>
          <w:rFonts w:ascii="Times New Roman" w:hAnsi="Times New Roman"/>
          <w:color w:val="000000"/>
          <w:sz w:val="24"/>
        </w:rPr>
      </w:pPr>
      <w:r>
        <w:rPr>
          <w:rFonts w:ascii="Times New Roman" w:hAnsi="Times New Roman"/>
          <w:color w:val="000000"/>
          <w:sz w:val="24"/>
        </w:rPr>
        <w:t>CARGURUS, INC.,</w:t>
      </w:r>
    </w:p>
    <w:p>
      <w:pPr>
        <w:pStyle w:val="TextBody"/>
        <w:bidi w:val="0"/>
        <w:spacing w:before="7" w:after="283"/>
        <w:jc w:val="left"/>
        <w:rPr>
          <w:rFonts w:ascii="Times New Roman" w:hAnsi="Times New Roman"/>
          <w:color w:val="000000"/>
          <w:sz w:val="24"/>
        </w:rPr>
      </w:pPr>
      <w:r>
        <w:rPr>
          <w:rFonts w:ascii="Times New Roman" w:hAnsi="Times New Roman"/>
          <w:color w:val="000000"/>
          <w:sz w:val="24"/>
        </w:rPr>
        <w:t>a Delaware corporation</w:t>
      </w:r>
    </w:p>
    <w:p>
      <w:pPr>
        <w:pStyle w:val="TextBody"/>
        <w:bidi w:val="0"/>
        <w:spacing w:before="199" w:after="283"/>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Ken Papa </w:t>
      </w:r>
    </w:p>
    <w:p>
      <w:pPr>
        <w:pStyle w:val="TextBody"/>
        <w:bidi w:val="0"/>
        <w:spacing w:before="1" w:after="283"/>
        <w:jc w:val="both"/>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Ken Papa </w:t>
      </w:r>
    </w:p>
    <w:p>
      <w:pPr>
        <w:pStyle w:val="TextBody"/>
        <w:bidi w:val="0"/>
        <w:spacing w:before="1" w:after="283"/>
        <w:jc w:val="both"/>
        <w:rPr>
          <w:rFonts w:ascii="Times New Roman" w:hAnsi="Times New Roman"/>
          <w:sz w:val="20"/>
        </w:rPr>
      </w:pPr>
      <w:r>
        <w:rPr>
          <w:rFonts w:ascii="Times New Roman" w:hAnsi="Times New Roman"/>
          <w:color w:val="000000"/>
          <w:sz w:val="24"/>
        </w:rPr>
        <w:t xml:space="preserve">Title: </w:t>
      </w:r>
      <w:r>
        <w:rPr>
          <w:rFonts w:ascii="Times New Roman" w:hAnsi="Times New Roman"/>
          <w:color w:val="000000"/>
          <w:sz w:val="24"/>
          <w:u w:val="single"/>
        </w:rPr>
        <w:t>Sr. Director Global Real Estate &amp; Facilities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carg-ex31_1.htm"/>
      <w:bookmarkStart w:id="37" w:name="kscargex31_1"/>
      <w:bookmarkEnd w:id="36"/>
      <w:bookmarkEnd w:id="37"/>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jc w:val="center"/>
        <w:rPr>
          <w:rFonts w:ascii="Calibri;sans-serif" w:hAnsi="Calibri;sans-serif"/>
          <w:b/>
          <w:color w:val="000000"/>
          <w:sz w:val="20"/>
        </w:rPr>
      </w:pPr>
      <w:r>
        <w:rPr>
          <w:rFonts w:ascii="Calibri;sans-serif" w:hAnsi="Calibri;sans-serif"/>
          <w:b/>
          <w:color w:val="000000"/>
          <w:sz w:val="20"/>
        </w:rPr>
        <w:t>AS ADOPTED PURSUANT TO SECTION 302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Jason Trevisan,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have reviewed this Quarterly Report on Form 10-Q of CarGurus,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Calibri" w:hAnsi="Calibri"/>
          <w:color w:val="000000"/>
          <w:sz w:val="20"/>
        </w:rPr>
      </w:pPr>
      <w:r>
        <w:rPr>
          <w:rFonts w:ascii="Calibri" w:hAnsi="Calibri"/>
          <w:color w:val="000000"/>
          <w:sz w:val="20"/>
        </w:rPr>
        <w:t>(c)</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Calibri" w:hAnsi="Calibri"/>
          <w:color w:val="000000"/>
          <w:sz w:val="20"/>
        </w:rPr>
      </w:pPr>
      <w:r>
        <w:rPr>
          <w:rFonts w:ascii="Calibri" w:hAnsi="Calibri"/>
          <w:color w:val="000000"/>
          <w:sz w:val="20"/>
        </w:rPr>
        <w:t>(d)</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52" w:type="dxa"/>
        <w:jc w:val="left"/>
        <w:tblInd w:w="0" w:type="dxa"/>
        <w:tblLayout w:type="fixed"/>
        <w:tblCellMar>
          <w:top w:w="28" w:type="dxa"/>
          <w:left w:w="28" w:type="dxa"/>
          <w:bottom w:w="28" w:type="dxa"/>
          <w:right w:w="28" w:type="dxa"/>
        </w:tblCellMar>
      </w:tblPr>
      <w:tblGrid>
        <w:gridCol w:w="1786"/>
        <w:gridCol w:w="109"/>
        <w:gridCol w:w="346"/>
        <w:gridCol w:w="231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Jason Trevisan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Jason Trevisan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Calibri;sans-serif" w:hAnsi="Calibri;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38" w:name="carg-ex31_2.htm"/>
      <w:bookmarkStart w:id="39" w:name="kscargex31_2"/>
      <w:bookmarkEnd w:id="38"/>
      <w:bookmarkEnd w:id="39"/>
      <w:r>
        <w:rPr>
          <w:rFonts w:ascii="Calibri;sans-serif" w:hAnsi="Calibri;sans-serif"/>
          <w:b/>
          <w:color w:val="000000"/>
          <w:sz w:val="20"/>
        </w:rPr>
        <w:t>Exhibit 31.2</w:t>
      </w:r>
      <w:r>
        <w:br w:type="page"/>
      </w:r>
    </w:p>
    <w:p>
      <w:pPr>
        <w:pStyle w:val="TextBody"/>
        <w:bidi w:val="0"/>
        <w:spacing w:before="3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RULES 13a-14(a) AND 15d-14(a) UNDER THE SECURITIES EXCHANGE ACT OF 1934,</w:t>
      </w:r>
    </w:p>
    <w:p>
      <w:pPr>
        <w:pStyle w:val="TextBody"/>
        <w:bidi w:val="0"/>
        <w:jc w:val="center"/>
        <w:rPr>
          <w:rFonts w:ascii="Calibri;sans-serif" w:hAnsi="Calibri;sans-serif"/>
          <w:b/>
          <w:color w:val="000000"/>
          <w:sz w:val="20"/>
        </w:rPr>
      </w:pPr>
      <w:r>
        <w:rPr>
          <w:rFonts w:ascii="Calibri;sans-serif" w:hAnsi="Calibri;sans-serif"/>
          <w:b/>
          <w:color w:val="000000"/>
          <w:sz w:val="20"/>
        </w:rPr>
        <w:t>AS ADOPTED PURSUANT TO SECTION 302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Elisa Palazzo, certify that:</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 have reviewed this Quarterly Report on Form 10-Q of CarGurus, Inc.;</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Calibri" w:hAnsi="Calibri"/>
          <w:color w:val="000000"/>
          <w:sz w:val="20"/>
        </w:rPr>
      </w:pPr>
      <w:r>
        <w:rPr>
          <w:rFonts w:ascii="Calibri" w:hAnsi="Calibri"/>
          <w:color w:val="000000"/>
          <w:sz w:val="20"/>
        </w:rPr>
        <w:t>3.</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Calibri" w:hAnsi="Calibri"/>
          <w:color w:val="000000"/>
          <w:sz w:val="20"/>
        </w:rPr>
      </w:pPr>
      <w:r>
        <w:rPr>
          <w:rFonts w:ascii="Calibri" w:hAnsi="Calibri"/>
          <w:color w:val="000000"/>
          <w:sz w:val="20"/>
        </w:rPr>
        <w:t>4.</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Calibri" w:hAnsi="Calibri"/>
          <w:color w:val="000000"/>
          <w:sz w:val="20"/>
        </w:rPr>
      </w:pPr>
      <w:r>
        <w:rPr>
          <w:rFonts w:ascii="Calibri" w:hAnsi="Calibri"/>
          <w:color w:val="000000"/>
          <w:sz w:val="20"/>
        </w:rPr>
        <w:t>(b)</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Calibri" w:hAnsi="Calibri"/>
          <w:color w:val="000000"/>
          <w:sz w:val="20"/>
        </w:rPr>
      </w:pPr>
      <w:r>
        <w:rPr>
          <w:rFonts w:ascii="Calibri" w:hAnsi="Calibri"/>
          <w:color w:val="000000"/>
          <w:sz w:val="20"/>
        </w:rPr>
        <w:t>(c)</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Calibri" w:hAnsi="Calibri"/>
          <w:color w:val="000000"/>
          <w:sz w:val="20"/>
        </w:rPr>
      </w:pPr>
      <w:r>
        <w:rPr>
          <w:rFonts w:ascii="Calibri" w:hAnsi="Calibri"/>
          <w:color w:val="000000"/>
          <w:sz w:val="20"/>
        </w:rPr>
        <w:t>(d)</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Calibri" w:hAnsi="Calibri"/>
          <w:color w:val="000000"/>
          <w:sz w:val="20"/>
        </w:rPr>
      </w:pPr>
      <w:r>
        <w:rPr>
          <w:rFonts w:ascii="Calibri" w:hAnsi="Calibri"/>
          <w:color w:val="000000"/>
          <w:sz w:val="20"/>
        </w:rPr>
        <w:t>5.</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Calibri" w:hAnsi="Calibri"/>
          <w:color w:val="000000"/>
          <w:sz w:val="20"/>
        </w:rPr>
      </w:pPr>
      <w:r>
        <w:rPr>
          <w:rFonts w:ascii="Calibri" w:hAnsi="Calibri"/>
          <w:color w:val="000000"/>
          <w:sz w:val="20"/>
        </w:rPr>
        <w:t>(a)</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087" w:type="dxa"/>
        <w:jc w:val="left"/>
        <w:tblInd w:w="0" w:type="dxa"/>
        <w:tblLayout w:type="fixed"/>
        <w:tblCellMar>
          <w:top w:w="28" w:type="dxa"/>
          <w:left w:w="28" w:type="dxa"/>
          <w:bottom w:w="28" w:type="dxa"/>
          <w:right w:w="28" w:type="dxa"/>
        </w:tblCellMar>
      </w:tblPr>
      <w:tblGrid>
        <w:gridCol w:w="1786"/>
        <w:gridCol w:w="109"/>
        <w:gridCol w:w="346"/>
        <w:gridCol w:w="484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48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Elisa Palazzo</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Elisa Palazzo</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Chief Financial Officer</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carg-ex32_1.htm"/>
      <w:bookmarkStart w:id="41" w:name="kscargex32_1"/>
      <w:bookmarkEnd w:id="40"/>
      <w:bookmarkEnd w:id="41"/>
      <w:r>
        <w:rPr/>
        <w:t> </w:t>
      </w:r>
      <w:r>
        <w:br w:type="page"/>
      </w:r>
    </w:p>
    <w:p>
      <w:pPr>
        <w:pStyle w:val="TextBody"/>
        <w:bidi w:val="0"/>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In connection with the Quarterly Report on Form 10-Q of CarGurus, Inc. (the “Company”) for the period ending June 30, 2024 as filed with the U.S.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Report fully complies with the requirements of Section 13(a) or 15(d) of the Securities Exchange Act of 1934; and</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552" w:type="dxa"/>
        <w:jc w:val="left"/>
        <w:tblInd w:w="0" w:type="dxa"/>
        <w:tblLayout w:type="fixed"/>
        <w:tblCellMar>
          <w:top w:w="28" w:type="dxa"/>
          <w:left w:w="28" w:type="dxa"/>
          <w:bottom w:w="28" w:type="dxa"/>
          <w:right w:w="28" w:type="dxa"/>
        </w:tblCellMar>
      </w:tblPr>
      <w:tblGrid>
        <w:gridCol w:w="1786"/>
        <w:gridCol w:w="109"/>
        <w:gridCol w:w="346"/>
        <w:gridCol w:w="231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Jason Trevisan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Jason Trevisan</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Calibri;sans-serif" w:hAnsi="Calibri;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0"/>
        </w:rPr>
      </w:pPr>
      <w:bookmarkStart w:id="42" w:name="carg-ex32_2.htm"/>
      <w:bookmarkStart w:id="43" w:name="kscargex32_2"/>
      <w:bookmarkEnd w:id="42"/>
      <w:bookmarkEnd w:id="43"/>
      <w:r>
        <w:rPr>
          <w:rFonts w:ascii="Calibri;sans-serif" w:hAnsi="Calibri;sans-serif"/>
          <w:b/>
          <w:color w:val="000000"/>
          <w:sz w:val="20"/>
        </w:rPr>
        <w:t>Exhibit 32.2</w:t>
      </w:r>
      <w:r>
        <w:br w:type="page"/>
      </w:r>
    </w:p>
    <w:p>
      <w:pPr>
        <w:pStyle w:val="TextBody"/>
        <w:bidi w:val="0"/>
        <w:spacing w:before="24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jc w:val="center"/>
        <w:rPr>
          <w:rFonts w:ascii="Calibri;sans-serif" w:hAnsi="Calibri;sans-serif"/>
          <w:b/>
          <w:color w:val="000000"/>
          <w:sz w:val="20"/>
        </w:rPr>
      </w:pPr>
      <w:r>
        <w:rPr>
          <w:rFonts w:ascii="Calibri;sans-serif" w:hAnsi="Calibri;sans-serif"/>
          <w:b/>
          <w:color w:val="000000"/>
          <w:sz w:val="20"/>
        </w:rPr>
        <w:t>18 U.S.C. SECTION 1350, AS ADOPTED PURSUANT TO</w:t>
      </w:r>
    </w:p>
    <w:p>
      <w:pPr>
        <w:pStyle w:val="TextBody"/>
        <w:bidi w:val="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In connection with the Quarterly Report on Form 10-Q of CarGurus, Inc. (the “Company”) for the period ending June 30, 2024, as filed with the U.S. Securities and Exchange Commission on the date hereof (the “Report”), I, Elisa Palazzo, Chief Financial Officer of the Company, certify, pursuant to 18 U.S.C. § 1350, as adopted pursuant to § 906 of the Sarbanes-Oxley Act of 2002, that, based on my knowledge:</w:t>
      </w:r>
    </w:p>
    <w:p>
      <w:pPr>
        <w:pStyle w:val="TextBody"/>
        <w:bidi w:val="0"/>
        <w:spacing w:before="240" w:after="283"/>
        <w:jc w:val="left"/>
        <w:rPr>
          <w:rFonts w:ascii="Calibri" w:hAnsi="Calibri"/>
          <w:color w:val="000000"/>
          <w:sz w:val="20"/>
        </w:rPr>
      </w:pPr>
      <w:r>
        <w:rPr>
          <w:rFonts w:ascii="Calibri" w:hAnsi="Calibri"/>
          <w:color w:val="000000"/>
          <w:sz w:val="20"/>
        </w:rPr>
        <w:t>(1)</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Report fully complies with the requirements of Section 13(a) or 15(d) of the Securities Exchange Act of 1934; and</w:t>
      </w:r>
    </w:p>
    <w:p>
      <w:pPr>
        <w:pStyle w:val="TextBody"/>
        <w:bidi w:val="0"/>
        <w:spacing w:before="240" w:after="283"/>
        <w:jc w:val="left"/>
        <w:rPr>
          <w:rFonts w:ascii="Calibri" w:hAnsi="Calibri"/>
          <w:color w:val="000000"/>
          <w:sz w:val="20"/>
        </w:rPr>
      </w:pPr>
      <w:r>
        <w:rPr>
          <w:rFonts w:ascii="Calibri" w:hAnsi="Calibri"/>
          <w:color w:val="000000"/>
          <w:sz w:val="20"/>
        </w:rPr>
        <w:t>(2)</w:t>
      </w:r>
    </w:p>
    <w:p>
      <w:pPr>
        <w:pStyle w:val="TextBody"/>
        <w:bidi w:val="0"/>
        <w:spacing w:before="240" w:after="283"/>
        <w:jc w:val="left"/>
        <w:rPr>
          <w:rFonts w:ascii="Calibri;sans-serif" w:hAnsi="Calibri;sans-serif"/>
          <w:color w:val="000000"/>
          <w:sz w:val="20"/>
        </w:rPr>
      </w:pPr>
      <w:r>
        <w:rPr>
          <w:rFonts w:ascii="Calibri;sans-serif" w:hAnsi="Calibri;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087" w:type="dxa"/>
        <w:jc w:val="left"/>
        <w:tblInd w:w="0" w:type="dxa"/>
        <w:tblLayout w:type="fixed"/>
        <w:tblCellMar>
          <w:top w:w="28" w:type="dxa"/>
          <w:left w:w="28" w:type="dxa"/>
          <w:bottom w:w="28" w:type="dxa"/>
          <w:right w:w="28" w:type="dxa"/>
        </w:tblCellMar>
      </w:tblPr>
      <w:tblGrid>
        <w:gridCol w:w="1786"/>
        <w:gridCol w:w="109"/>
        <w:gridCol w:w="346"/>
        <w:gridCol w:w="484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48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Elisa Palazzo</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Elisa Palazzo</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tcBorders/>
            <w:shd w:fill="FFFFFF" w:val="clear"/>
            <w:tcMar>
              <w:top w:w="0" w:type="dxa"/>
              <w:left w:w="0" w:type="dxa"/>
              <w:bottom w:w="0" w:type="dxa"/>
              <w:right w:w="0" w:type="dxa"/>
            </w:tcMar>
            <w:vAlign w:val="center"/>
          </w:tcPr>
          <w:p>
            <w:pPr>
              <w:pStyle w:val="TableContents"/>
              <w:bidi w:val="0"/>
              <w:jc w:val="left"/>
              <w:rPr>
                <w:rFonts w:ascii="Calibri;sans-serif" w:hAnsi="Calibri;sans-serif"/>
                <w:color w:val="000000"/>
                <w:sz w:val="20"/>
              </w:rPr>
            </w:pPr>
            <w:r>
              <w:rPr>
                <w:rFonts w:ascii="Calibri;sans-serif" w:hAnsi="Calibri;sans-serif"/>
                <w:color w:val="000000"/>
                <w:sz w:val="20"/>
              </w:rPr>
              <w:t>Chief Financial Officer</w:t>
            </w:r>
          </w:p>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Times New Roman">
    <w:charset w:val="01"/>
    <w:family w:val="auto"/>
    <w:pitch w:val="default"/>
  </w:font>
  <w:font w:name="Calibri">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94259/000110465917062378/a17-24010_1ex3d1.htm" TargetMode="External"/><Relationship Id="rId4" Type="http://schemas.openxmlformats.org/officeDocument/2006/relationships/hyperlink" Target="https://www.sec.gov/Archives/edgar/data/1494259/000095017024069898/carg-ex3_1.htm" TargetMode="External"/><Relationship Id="rId5" Type="http://schemas.openxmlformats.org/officeDocument/2006/relationships/hyperlink" Target="https://www.sec.gov/Archives/edgar/data/1494259/000095017024069898/carg-ex3_2.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46808</Words>
  <Characters>256083</Characters>
  <CharactersWithSpaces>305585</CharactersWithSpaces>
  <Paragraphs>11496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