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22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8"/>
        </w:trPr>
        <w:tc>
          <w:tcPr>
            <w:tcW w:w="6220" w:type="dxa"/>
            <w:vAlign w:val="bottom"/>
            <w:gridSpan w:val="3"/>
          </w:tcPr>
          <w:p>
            <w:pPr>
              <w:jc w:val="center"/>
              <w:ind w:right="38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gridSpan w:val="3"/>
          </w:tcPr>
          <w:p>
            <w:pPr>
              <w:jc w:val="center"/>
              <w:ind w:right="382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622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93"/>
              </w:rPr>
              <w:t>2 Canal Park, 4th Floor</w:t>
            </w:r>
          </w:p>
        </w:tc>
        <w:tc>
          <w:tcPr>
            <w:tcW w:w="1160" w:type="dxa"/>
            <w:vAlign w:val="bottom"/>
          </w:tcPr>
          <w:p>
            <w:pPr>
              <w:spacing w:after="0"/>
              <w:rPr>
                <w:sz w:val="24"/>
                <w:szCs w:val="24"/>
                <w:color w:val="auto"/>
              </w:rPr>
            </w:pPr>
          </w:p>
        </w:tc>
      </w:tr>
      <w:tr>
        <w:trPr>
          <w:trHeight w:val="212"/>
        </w:trPr>
        <w:tc>
          <w:tcPr>
            <w:tcW w:w="622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9"/>
              </w:rPr>
              <w:t>Cambridge, Massachusetts</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622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6"/>
        </w:trPr>
        <w:tc>
          <w:tcPr>
            <w:tcW w:w="6220" w:type="dxa"/>
            <w:vAlign w:val="bottom"/>
            <w:gridSpan w:val="3"/>
          </w:tcPr>
          <w:p>
            <w:pPr>
              <w:ind w:left="1800"/>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1160" w:type="dxa"/>
            <w:vAlign w:val="bottom"/>
          </w:tcPr>
          <w:p>
            <w:pPr>
              <w:spacing w:after="0"/>
              <w:rPr>
                <w:sz w:val="17"/>
                <w:szCs w:val="17"/>
                <w:color w:val="auto"/>
              </w:rPr>
            </w:pPr>
          </w:p>
        </w:tc>
      </w:tr>
      <w:tr>
        <w:trPr>
          <w:trHeight w:val="22"/>
        </w:trPr>
        <w:tc>
          <w:tcPr>
            <w:tcW w:w="28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63"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9" w:lineRule="exact"/>
        <w:rPr>
          <w:sz w:val="24"/>
          <w:szCs w:val="24"/>
          <w:color w:val="auto"/>
        </w:rPr>
      </w:pPr>
    </w:p>
    <w:tbl>
      <w:tblPr>
        <w:tblLayout w:type="fixed"/>
        <w:tblInd w:w="700" w:type="dxa"/>
        <w:tblCellMar>
          <w:top w:w="0" w:type="dxa"/>
          <w:left w:w="0" w:type="dxa"/>
          <w:bottom w:w="0" w:type="dxa"/>
          <w:right w:w="0" w:type="dxa"/>
        </w:tblCellMar>
      </w:tblPr>
      <w:tr>
        <w:trPr>
          <w:trHeight w:val="172"/>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82"/>
              </w:rPr>
              <w:t>Class A Common</w:t>
            </w:r>
          </w:p>
        </w:tc>
        <w:tc>
          <w:tcPr>
            <w:tcW w:w="12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Title of Each Class</w:t>
            </w:r>
          </w:p>
        </w:tc>
        <w:tc>
          <w:tcPr>
            <w:tcW w:w="2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Trading Symbol</w:t>
            </w:r>
          </w:p>
        </w:tc>
        <w:tc>
          <w:tcPr>
            <w:tcW w:w="420" w:type="dxa"/>
            <w:vAlign w:val="bottom"/>
          </w:tcPr>
          <w:p>
            <w:pPr>
              <w:spacing w:after="0"/>
              <w:rPr>
                <w:sz w:val="15"/>
                <w:szCs w:val="15"/>
                <w:color w:val="auto"/>
              </w:rPr>
            </w:pPr>
          </w:p>
        </w:tc>
        <w:tc>
          <w:tcPr>
            <w:tcW w:w="108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78"/>
              </w:rPr>
              <w:t>The Nasdaq</w:t>
            </w:r>
          </w:p>
        </w:tc>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0"/>
              </w:rPr>
              <w:t>Name of Exchange on Which Registered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vMerge w:val="continue"/>
          </w:tcPr>
          <w:p>
            <w:pPr>
              <w:spacing w:after="0"/>
              <w:rPr>
                <w:sz w:val="15"/>
                <w:szCs w:val="15"/>
                <w:color w:val="auto"/>
              </w:rPr>
            </w:pPr>
          </w:p>
        </w:tc>
        <w:tc>
          <w:tcPr>
            <w:tcW w:w="34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par value $0.001 per 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4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26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Stock Market LLC (Nasdaq Global Select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6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ind w:right="38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24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Small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24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520"/>
        <w:spacing w:after="0" w:line="196" w:lineRule="exact"/>
        <w:tabs>
          <w:tab w:leader="none" w:pos="842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ind w:right="20" w:firstLine="510"/>
        <w:spacing w:after="0" w:line="274" w:lineRule="auto"/>
        <w:rPr>
          <w:sz w:val="20"/>
          <w:szCs w:val="20"/>
          <w:color w:val="auto"/>
        </w:rPr>
      </w:pPr>
      <w:r>
        <w:rPr>
          <w:rFonts w:ascii="Arial" w:cs="Arial" w:eastAsia="Arial" w:hAnsi="Arial"/>
          <w:sz w:val="17"/>
          <w:szCs w:val="17"/>
          <w:color w:val="auto"/>
        </w:rPr>
        <w:t>As of April 30, 2020, the registrant had 92,673,364 shares of Class A common stock, $0.001 par value per share, and 19,978,903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vMerge w:val="restart"/>
          </w:tcPr>
          <w:p>
            <w:pPr>
              <w:ind w:left="2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80" w:type="dxa"/>
            <w:vAlign w:val="bottom"/>
            <w:vMerge w:val="continue"/>
          </w:tcPr>
          <w:p>
            <w:pPr>
              <w:spacing w:after="0"/>
              <w:rPr>
                <w:sz w:val="19"/>
                <w:szCs w:val="19"/>
                <w:color w:val="auto"/>
              </w:rPr>
            </w:pPr>
          </w:p>
        </w:tc>
        <w:tc>
          <w:tcPr>
            <w:tcW w:w="96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Income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Stockholders’ Equity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Condensed 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40" w:type="dxa"/>
            <w:vAlign w:val="bottom"/>
          </w:tcPr>
          <w:p>
            <w:pPr>
              <w:ind w:left="2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2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2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tcPr>
          <w:p>
            <w:pPr>
              <w:ind w:left="22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2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tcPr>
          <w:p>
            <w:pPr>
              <w:ind w:left="2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2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4"/>
        </w:trPr>
        <w:tc>
          <w:tcPr>
            <w:tcW w:w="9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Signatures</w:t>
              </w:r>
            </w:hyperlink>
          </w:p>
        </w:tc>
        <w:tc>
          <w:tcPr>
            <w:tcW w:w="9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succeed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cease operations in certain international countries, and the timing of such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cost savings and achieve other benefits for our business from our expense reduction efforts and the impact of such reductions on our business;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our temporary suspended activity program, including after dealers restore their paid subscriptions or we reinstate Restricted Listings;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89" w:lineRule="exact"/>
        <w:rPr>
          <w:sz w:val="20"/>
          <w:szCs w:val="20"/>
          <w:color w:val="auto"/>
        </w:rPr>
      </w:pPr>
    </w:p>
    <w:p>
      <w:pPr>
        <w:jc w:val="both"/>
        <w:ind w:firstLine="510"/>
        <w:spacing w:after="0" w:line="194"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Current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56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74,451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81,281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$1,247</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$240, respectively</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Prepaid expenses and prepaid income taxes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18,756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contract costs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10,078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Other current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Restricted cash</w:t>
            </w:r>
          </w:p>
        </w:tc>
        <w:tc>
          <w:tcPr>
            <w:tcW w:w="1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7"/>
                <w:szCs w:val="17"/>
                <w:color w:val="auto"/>
              </w:rPr>
              <w:t>Total current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210,239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218,954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27,904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Intangible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11,006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27,298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68,662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59,986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10,770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Deferred tax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36,459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Deferred contract costs, net of current portion</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1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3,716</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406,438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393,623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2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5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29,839</w:t>
            </w:r>
          </w:p>
        </w:tc>
        <w:tc>
          <w:tcPr>
            <w:tcW w:w="3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13,973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liabilities</w:t>
            </w:r>
          </w:p>
        </w:tc>
        <w:tc>
          <w:tcPr>
            <w:tcW w:w="1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9,477</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58,331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68,079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1,731</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7"/>
                <w:szCs w:val="17"/>
                <w:color w:val="auto"/>
              </w:rPr>
              <w:t>Total liabilities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128,470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136,768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8)</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Stockholders’ equity: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Preferred stock, $0.001 par value; 10,000,000 shares authorized;</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CFF0FC"/>
          </w:tcPr>
          <w:p>
            <w:pPr>
              <w:ind w:left="400"/>
              <w:spacing w:after="0"/>
              <w:rPr>
                <w:sz w:val="20"/>
                <w:szCs w:val="20"/>
                <w:color w:val="auto"/>
              </w:rPr>
            </w:pPr>
            <w:r>
              <w:rPr>
                <w:rFonts w:ascii="Arial" w:cs="Arial" w:eastAsia="Arial" w:hAnsi="Arial"/>
                <w:sz w:val="17"/>
                <w:szCs w:val="17"/>
                <w:color w:val="auto"/>
              </w:rPr>
              <w:t>no shares issued and outstanding</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6420" w:type="dxa"/>
            <w:vAlign w:val="bottom"/>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380"/>
              <w:spacing w:after="0"/>
              <w:rPr>
                <w:sz w:val="20"/>
                <w:szCs w:val="20"/>
                <w:color w:val="auto"/>
              </w:rPr>
            </w:pPr>
            <w:r>
              <w:rPr>
                <w:rFonts w:ascii="Arial" w:cs="Arial" w:eastAsia="Arial" w:hAnsi="Arial"/>
                <w:sz w:val="17"/>
                <w:szCs w:val="17"/>
                <w:color w:val="auto"/>
              </w:rPr>
              <w:t>authorized; 92,517,427 and 91,819,649 shares issued and outstanding</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20" w:type="dxa"/>
            <w:vAlign w:val="bottom"/>
          </w:tcPr>
          <w:p>
            <w:pPr>
              <w:ind w:left="380"/>
              <w:spacing w:after="0"/>
              <w:rPr>
                <w:sz w:val="20"/>
                <w:szCs w:val="20"/>
                <w:color w:val="auto"/>
              </w:rPr>
            </w:pPr>
            <w:r>
              <w:rPr>
                <w:rFonts w:ascii="Arial" w:cs="Arial" w:eastAsia="Arial" w:hAnsi="Arial"/>
                <w:sz w:val="17"/>
                <w:szCs w:val="17"/>
                <w:color w:val="auto"/>
              </w:rPr>
              <w:t>at March 31, 2020 and December 31, 2019, respectively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19,978,903 and 20,314,644 shares issued and outstanding</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March 31, 2020 and December 31, 2019, respectively</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214,143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205,234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Retained earnings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64,555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7"/>
                <w:szCs w:val="17"/>
                <w:color w:val="auto"/>
              </w:rPr>
              <w:t>Accumulated other comprehensive loss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(843)</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277,968</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256,855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3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406,438</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04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157,689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146,079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23,084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134,060</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1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(Note 10)</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2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178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shares of common</w:t>
            </w:r>
          </w:p>
        </w:tc>
        <w:tc>
          <w:tcPr>
            <w:tcW w:w="1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used in computing net income per share</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w:t>
            </w:r>
          </w:p>
        </w:tc>
        <w:tc>
          <w:tcPr>
            <w:tcW w:w="17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112,355,093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110,800,037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113,489,992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113,406,320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00" w:right="1140" w:hanging="1592"/>
        <w:spacing w:after="0" w:line="429" w:lineRule="auto"/>
        <w:tabs>
          <w:tab w:leader="none" w:pos="366"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Includes depreciation and amortization expense for the three months ended March 31, 2020 and 2019 of $1,469 and $560, respectively. The accompanying notes are an integral part of these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42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12,696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2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12,203</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200" w:type="dxa"/>
            <w:vAlign w:val="bottom"/>
          </w:tcPr>
          <w:p>
            <w:pPr>
              <w:spacing w:after="0"/>
              <w:rPr>
                <w:sz w:val="11"/>
                <w:szCs w:val="11"/>
                <w:color w:val="auto"/>
              </w:rPr>
            </w:pPr>
          </w:p>
        </w:tc>
        <w:tc>
          <w:tcPr>
            <w:tcW w:w="1140" w:type="dxa"/>
            <w:vAlign w:val="bottom"/>
            <w:gridSpan w:val="4"/>
          </w:tcPr>
          <w:p>
            <w:pPr>
              <w:jc w:val="right"/>
              <w:ind w:right="40"/>
              <w:spacing w:after="0" w:line="135" w:lineRule="exact"/>
              <w:rPr>
                <w:sz w:val="20"/>
                <w:szCs w:val="20"/>
                <w:color w:val="auto"/>
              </w:rPr>
            </w:pPr>
            <w:r>
              <w:rPr>
                <w:rFonts w:ascii="Arial" w:cs="Arial" w:eastAsia="Arial" w:hAnsi="Arial"/>
                <w:sz w:val="12"/>
                <w:szCs w:val="12"/>
                <w:b w:val="1"/>
                <w:bCs w:val="1"/>
                <w:color w:val="auto"/>
              </w:rPr>
              <w:t>Class A</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right"/>
              <w:ind w:right="502"/>
              <w:spacing w:after="0" w:line="135" w:lineRule="exact"/>
              <w:rPr>
                <w:sz w:val="20"/>
                <w:szCs w:val="20"/>
                <w:color w:val="auto"/>
              </w:rPr>
            </w:pPr>
            <w:r>
              <w:rPr>
                <w:rFonts w:ascii="Arial" w:cs="Arial" w:eastAsia="Arial" w:hAnsi="Arial"/>
                <w:sz w:val="12"/>
                <w:szCs w:val="12"/>
                <w:b w:val="1"/>
                <w:bCs w:val="1"/>
                <w:color w:val="auto"/>
              </w:rPr>
              <w:t>Class B</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3"/>
        </w:trPr>
        <w:tc>
          <w:tcPr>
            <w:tcW w:w="3200" w:type="dxa"/>
            <w:vAlign w:val="bottom"/>
          </w:tcPr>
          <w:p>
            <w:pPr>
              <w:spacing w:after="0"/>
              <w:rPr>
                <w:sz w:val="12"/>
                <w:szCs w:val="12"/>
                <w:color w:val="auto"/>
              </w:rPr>
            </w:pPr>
          </w:p>
        </w:tc>
        <w:tc>
          <w:tcPr>
            <w:tcW w:w="1820" w:type="dxa"/>
            <w:vAlign w:val="bottom"/>
            <w:tcBorders>
              <w:bottom w:val="single" w:sz="8" w:color="auto"/>
            </w:tcBorders>
            <w:gridSpan w:val="5"/>
          </w:tcPr>
          <w:p>
            <w:pPr>
              <w:jc w:val="right"/>
              <w:ind w:right="482"/>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Comprehensive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Stockholders’</w:t>
            </w:r>
          </w:p>
        </w:tc>
      </w:tr>
      <w:tr>
        <w:trPr>
          <w:trHeight w:val="142"/>
        </w:trPr>
        <w:tc>
          <w:tcPr>
            <w:tcW w:w="3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Capital</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FF0FC"/>
            </w:tcBorders>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91,819,649</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20,314,644</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205,234</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51,859</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(350)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256,855</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12,696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12,696</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160,668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vesting</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2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 restricted stock units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308,303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(106,934)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(3,397)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(3,397)</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335,741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(335,741)</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r>
      <w:tr>
        <w:trPr>
          <w:trHeight w:val="20"/>
        </w:trPr>
        <w:tc>
          <w:tcPr>
            <w:tcW w:w="3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March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92,517,427</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19,978,903</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20</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214,143</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64,555</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(843)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277,968</w:t>
            </w:r>
          </w:p>
        </w:tc>
        <w:tc>
          <w:tcPr>
            <w:tcW w:w="100" w:type="dxa"/>
            <w:vAlign w:val="bottom"/>
            <w:shd w:val="clear" w:color="auto" w:fill="CFF0FC"/>
          </w:tcPr>
          <w:p>
            <w:pPr>
              <w:spacing w:after="0"/>
              <w:rPr>
                <w:sz w:val="12"/>
                <w:szCs w:val="12"/>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2018</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89,728,223</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21</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184,216</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9,713</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194,111</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12,584</w:t>
            </w:r>
          </w:p>
        </w:tc>
        <w:tc>
          <w:tcPr>
            <w:tcW w:w="10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7,995</w:t>
            </w:r>
          </w:p>
        </w:tc>
        <w:tc>
          <w:tcPr>
            <w:tcW w:w="10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447,210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697</w:t>
            </w:r>
          </w:p>
        </w:tc>
        <w:tc>
          <w:tcPr>
            <w:tcW w:w="100" w:type="dxa"/>
            <w:vAlign w:val="bottom"/>
          </w:tcPr>
          <w:p>
            <w:pPr>
              <w:spacing w:after="0"/>
              <w:rPr>
                <w:sz w:val="12"/>
                <w:szCs w:val="12"/>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vesting</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32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 restricted stock units</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297,374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w w:val="93"/>
              </w:rPr>
              <w:t>Payment of withholding taxes on net share settlements of equity</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200" w:type="dxa"/>
            <w:vAlign w:val="bottom"/>
          </w:tcPr>
          <w:p>
            <w:pPr>
              <w:spacing w:after="0"/>
              <w:rPr>
                <w:sz w:val="20"/>
                <w:szCs w:val="20"/>
                <w:color w:val="auto"/>
              </w:rPr>
            </w:pPr>
            <w:r>
              <w:rPr>
                <w:rFonts w:ascii="Arial" w:cs="Arial" w:eastAsia="Arial" w:hAnsi="Arial"/>
                <w:sz w:val="12"/>
                <w:szCs w:val="12"/>
                <w:color w:val="auto"/>
              </w:rPr>
              <w:t>awards</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(102,034)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(3,954)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(3,954)</w:t>
            </w: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(424)</w:t>
            </w:r>
          </w:p>
        </w:tc>
      </w:tr>
      <w:tr>
        <w:trPr>
          <w:trHeight w:val="20"/>
        </w:trPr>
        <w:tc>
          <w:tcPr>
            <w:tcW w:w="3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Balance at March 31, 2019</w:t>
            </w:r>
          </w:p>
        </w:tc>
        <w:tc>
          <w:tcPr>
            <w:tcW w:w="800" w:type="dxa"/>
            <w:vAlign w:val="bottom"/>
          </w:tcPr>
          <w:p>
            <w:pPr>
              <w:jc w:val="right"/>
              <w:spacing w:after="0"/>
              <w:rPr>
                <w:sz w:val="20"/>
                <w:szCs w:val="20"/>
                <w:color w:val="auto"/>
              </w:rPr>
            </w:pPr>
            <w:r>
              <w:rPr>
                <w:rFonts w:ascii="Arial" w:cs="Arial" w:eastAsia="Arial" w:hAnsi="Arial"/>
                <w:sz w:val="12"/>
                <w:szCs w:val="12"/>
                <w:color w:val="auto"/>
              </w:rPr>
              <w:t>90,370,773</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20,702,084</w:t>
            </w:r>
          </w:p>
        </w:tc>
        <w:tc>
          <w:tcPr>
            <w:tcW w:w="120" w:type="dxa"/>
            <w:vAlign w:val="bottom"/>
          </w:tcPr>
          <w:p>
            <w:pPr>
              <w:spacing w:after="0"/>
              <w:rPr>
                <w:sz w:val="12"/>
                <w:szCs w:val="12"/>
                <w:color w:val="auto"/>
              </w:rPr>
            </w:pPr>
          </w:p>
        </w:tc>
        <w:tc>
          <w:tcPr>
            <w:tcW w:w="740" w:type="dxa"/>
            <w:vAlign w:val="bottom"/>
            <w:gridSpan w:val="2"/>
          </w:tcPr>
          <w:p>
            <w:pPr>
              <w:jc w:val="right"/>
              <w:ind w:right="522"/>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21</w:t>
            </w:r>
          </w:p>
        </w:tc>
        <w:tc>
          <w:tcPr>
            <w:tcW w:w="10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188,954</w:t>
            </w:r>
          </w:p>
        </w:tc>
        <w:tc>
          <w:tcPr>
            <w:tcW w:w="100" w:type="dxa"/>
            <w:vAlign w:val="bottom"/>
          </w:tcPr>
          <w:p>
            <w:pPr>
              <w:spacing w:after="0"/>
              <w:rPr>
                <w:sz w:val="12"/>
                <w:szCs w:val="1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22,297</w:t>
            </w:r>
          </w:p>
        </w:tc>
        <w:tc>
          <w:tcPr>
            <w:tcW w:w="120" w:type="dxa"/>
            <w:vAlign w:val="bottom"/>
          </w:tcPr>
          <w:p>
            <w:pPr>
              <w:spacing w:after="0"/>
              <w:rPr>
                <w:sz w:val="12"/>
                <w:szCs w:val="12"/>
                <w:color w:val="auto"/>
              </w:rPr>
            </w:pPr>
          </w:p>
        </w:tc>
        <w:tc>
          <w:tcPr>
            <w:tcW w:w="160" w:type="dxa"/>
            <w:vAlign w:val="bottom"/>
            <w:gridSpan w:val="2"/>
          </w:tcPr>
          <w:p>
            <w:pPr>
              <w:ind w:left="80"/>
              <w:spacing w:after="0"/>
              <w:rPr>
                <w:sz w:val="20"/>
                <w:szCs w:val="20"/>
                <w:color w:val="auto"/>
              </w:rPr>
            </w:pPr>
            <w:r>
              <w:rPr>
                <w:rFonts w:ascii="Arial" w:cs="Arial" w:eastAsia="Arial" w:hAnsi="Arial"/>
                <w:sz w:val="12"/>
                <w:szCs w:val="12"/>
                <w:color w:val="auto"/>
                <w:w w:val="89"/>
              </w:rPr>
              <w:t>$</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(353)</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211,009</w:t>
            </w:r>
          </w:p>
        </w:tc>
        <w:tc>
          <w:tcPr>
            <w:tcW w:w="100" w:type="dxa"/>
            <w:vAlign w:val="bottom"/>
          </w:tcPr>
          <w:p>
            <w:pPr>
              <w:spacing w:after="0"/>
              <w:rPr>
                <w:sz w:val="12"/>
                <w:szCs w:val="12"/>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12,696</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Deferred taxes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11,606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(11,047)</w:t>
            </w: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(3,296)</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(7,437)</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(4,350)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(4,938)</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obligations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(721)</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Other non-current liabilities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(1,214)</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acquisition, net of cash acquired</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(21,004)</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(19,139)</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Investments in certificates of deposit</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(25,700)</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8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30,411</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Payment of finance lease obligations</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Payment of withholding taxes on net share settlement of</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5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14,748</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85,471</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8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Unpaid purchases of property and equipment</w:t>
            </w:r>
          </w:p>
        </w:tc>
        <w:tc>
          <w:tcPr>
            <w:tcW w:w="1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Capitalized stock-based compensation expense in website development and</w:t>
            </w:r>
          </w:p>
        </w:tc>
        <w:tc>
          <w:tcPr>
            <w:tcW w:w="8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internal-use software costs</w:t>
            </w:r>
          </w:p>
        </w:tc>
        <w:tc>
          <w:tcPr>
            <w:tcW w:w="8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1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71"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In addition to the United States, it operates online marketplaces under the CarGurus brand in Canada and the United Kingdom. The Company also operates online marketplaces in Germany, Italy, and Spain; the Company intends to cease the operations of each of these marketplaces in the second quarter of 2020 (see Note 13). The Company has subsidiaries in the United States, Canada, Ireland, and the United Kingdom. In the United States and the United Kingdom, it also operates the Autolist and PistonHeads online marketplaces, respectively, as independent brands.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accompanying interim condensed consolidated financial statements (the “Unaudited Condensed Consolidated Financial Statements”) and related disclosures have been prepared in conformity with accounting principles generally accepted in the United States of America (“GAAP”). Any reference in these notes to applicable guidance is meant to refer to the authoritative U.S. generally accepted accounting principles as found in the Accounting Standards Codification (“ASC”) and Accounting Standards Update (“ASU”) of the Financial Accounting Standards Board (“FASB”).</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Unaudited Condensed Consolidated Financial Statements are unaudited. These Unaudited Condensed Consolidated Financial Statements should be read in conjunction with the Company’s audited consolidated financial statements and the notes thereto for the year ended December 31, 2019 included in the Company’s Annual Report on Form 10-K for the year ended December 31, 2019, filed with the Securities and Exchange Commission (“SEC”) on February 14, 2020 (the “2019 Annual Report”).</w:t>
      </w:r>
    </w:p>
    <w:p>
      <w:pPr>
        <w:spacing w:after="0" w:line="1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Unaudited Condensed Consolidated Financial Statements have been prepared pursuant to the rules and regulations of the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March 31, 2020 and December 31, 2019, results of operations, comprehensive income, changes in shareholders’ equity and cash flows for the three months ended March 31, 2020 and 2019. These interim period results are not necessarily indicative of the results to be expected for any other interim period or the full year.</w:t>
      </w:r>
    </w:p>
    <w:p>
      <w:pPr>
        <w:spacing w:after="0" w:line="16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2020, there have been no material changes in the Company's significant accounting policies from those that were disclosed in the 2019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those disclosed in Note 13 of these Unaudited Condensed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7"/>
          <w:szCs w:val="17"/>
          <w:color w:val="auto"/>
        </w:rPr>
        <w:t>Significant estimates relied upon in preparing these Unaudited Condensed Consolidated Financial Statements include revenue recognition, allowance for doubtful accounts and sales allowances, variable consideration, the recoverability of long-lived assets, the valuation and recoverability of goodwill and intangible assets, the expensing and capitalization of product, technology, and development costs for website development and internal</w:t>
      </w:r>
      <w:r>
        <w:rPr>
          <w:rFonts w:ascii="MS PGothic" w:cs="MS PGothic" w:eastAsia="MS PGothic" w:hAnsi="MS PGothic"/>
          <w:sz w:val="17"/>
          <w:szCs w:val="17"/>
          <w:color w:val="auto"/>
        </w:rPr>
        <w:t>‑</w:t>
      </w:r>
      <w:r>
        <w:rPr>
          <w:rFonts w:ascii="Arial" w:cs="Arial" w:eastAsia="Arial" w:hAnsi="Arial"/>
          <w:sz w:val="17"/>
          <w:szCs w:val="17"/>
          <w:color w:val="auto"/>
        </w:rPr>
        <w:t>use software, and the recoverability of the Company’s net deferred tax assets and related valuation allowance.</w:t>
      </w:r>
    </w:p>
    <w:p>
      <w:pPr>
        <w:spacing w:after="0" w:line="20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 In light of the novel strain of coronavirus that surfaced in Wuhan, China in December 2019 and was subsequently declared a Public Health Emergency of International Concern by the World Health Organization (“COVID-19”), the Company assessed the implications on accounts receivable and increased its allowance for doubtful accounts to $1,247 as of March 31, 2020 as compared to $240 as of December 31, 2019 due to increased risk of collectability of its outstanding trade receivables.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2020 and 2019, no individual customer accounted for more than 10% of total revenue.</w:t>
      </w:r>
    </w:p>
    <w:p>
      <w:pPr>
        <w:spacing w:after="0" w:line="252"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As of March 31, 2020, one customer accounted for 12% of net accounts receivable. As of December 31, 2019, one customer accounted for 18% of net accounts receivable. No other individual customer accounted for more than 10% of net accounts receivable at March 31, 2020 or December 31, 2019.</w:t>
      </w:r>
    </w:p>
    <w:p>
      <w:pPr>
        <w:spacing w:after="0" w:line="12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Included in net accounts receivable at March 31, 2020 and December 31, 2019, are $5,980 and $8,880, respectively, of unbilled accounts receivable primarily related to advertising customers that are generally billed within a quarter subsequent to services being rendered. The decrease in unbilled accounts receivable of $2,900 is due to a decrease in advertising revenues, a decrease in revenue from partnerships with certain financing services companies and the impact of price concessions offered to customers in response to the COVID-19 pandemic.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i w:val="1"/>
          <w:iCs w:val="1"/>
          <w:color w:val="auto"/>
        </w:rPr>
        <w:t>T</w:t>
      </w:r>
      <w:r>
        <w:rPr>
          <w:rFonts w:ascii="Arial" w:cs="Arial" w:eastAsia="Arial" w:hAnsi="Arial"/>
          <w:sz w:val="17"/>
          <w:szCs w:val="17"/>
          <w:color w:val="auto"/>
        </w:rPr>
        <w:t>he Company is exposed to credit losses primarily through its trade accounts receivable. The Company determines the required allowance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using information such as historical loss trends, current conditions, and reasonable and supportable forecasts of economic conditions such as the impacts of the COVID-19 pandemic in the first quarter of 2020. Amounts are charged against the allowance when it is determined that expected credit losses may occur. At March 31, 2020, the Company reported allowances for doubtful accounts of $1,247 reflecting an increase of $1,007 primarily due to the impact of the COVID-19 pandemic and increased risk of collectability.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revenue from contracts with customers by revenue source for the three months ended March 31, 2020 and 2019.</w:t>
      </w:r>
    </w:p>
    <w:p>
      <w:pPr>
        <w:spacing w:after="0" w:line="253"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Three Months Ended</w:t>
      </w:r>
    </w:p>
    <w:p>
      <w:pPr>
        <w:jc w:val="center"/>
        <w:ind w:left="42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35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 by Revenue Stream</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Marketplace subscription revenue</w:t>
            </w:r>
          </w:p>
        </w:tc>
        <w:tc>
          <w:tcPr>
            <w:tcW w:w="176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141,866</w:t>
            </w:r>
          </w:p>
        </w:tc>
        <w:tc>
          <w:tcPr>
            <w:tcW w:w="20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120,843</w:t>
            </w:r>
          </w:p>
        </w:tc>
        <w:tc>
          <w:tcPr>
            <w:tcW w:w="80" w:type="dxa"/>
            <w:vAlign w:val="bottom"/>
          </w:tcPr>
          <w:p>
            <w:pPr>
              <w:spacing w:after="0"/>
              <w:rPr>
                <w:sz w:val="19"/>
                <w:szCs w:val="19"/>
                <w:color w:val="auto"/>
              </w:rPr>
            </w:pPr>
          </w:p>
        </w:tc>
      </w:tr>
      <w:tr>
        <w:trPr>
          <w:trHeight w:val="229"/>
        </w:trPr>
        <w:tc>
          <w:tcPr>
            <w:tcW w:w="3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Advertising and other revenue</w:t>
            </w:r>
          </w:p>
        </w:tc>
        <w:tc>
          <w:tcPr>
            <w:tcW w:w="7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15,823</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8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157,689</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135,270</w:t>
            </w:r>
          </w:p>
        </w:tc>
        <w:tc>
          <w:tcPr>
            <w:tcW w:w="8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provides disaggregation of revenue based on the marketplace subscription versus advertising and other revenue classification in the table above and based on geographic region (see Note 12) as it believes these categories best depict how the nature, amount, timing and uncertainty of revenue and cash flows are affected by economic factors.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enters into contracts that include variable consideration, for which the Company estimates the value of the variable consideration in determining the transaction price and allocates it to the appropriate performance obligations. The Company reassesses any estimates of variable consideration at each reporting period.</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ASC Topic 606, Revenue from Contracts with Customers (“Topic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the performance obligations that were unsatisfied as of March 31, 2020 was approximately $27.6 million, which the Company expects to recognize over the next twelve months.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March 31, 2020. For performance obligations not satisfied as of March 31, 2020, and to which this expedient applies, the nature of the performance obligations, the variable consideration and any consideration from contracts with customers not included in the transaction price is consistent with performance obligations satisfied as of March 31, 2020. The remaining duration is less than one year.</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Revenue recognized during the three months ended March 31, 2020 from amounts included in deferred revenue at the beginning of the period was approximately $9,984.</w:t>
      </w:r>
    </w:p>
    <w:p>
      <w:pPr>
        <w:spacing w:after="0" w:line="17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March 18, 2020, in response to the COVID-19 pandemic, the Company announced a 50% fee reduction on all marketplace subscriptions for the April service period for paying dealers in the United States, Canada and the United Kingdom as well as a 100% fee reduction for paying dealers in Italy as the Company intends to cease the operations of its Italian marketplace in the second quarter of 2020. This discount resulted in a modification to contracts with initial contractual periods greater than one month. For any contract modified, the Company calculated the remaining transaction price and allocated the consideration over the remaining performance obligations. In the Company’s calculation of the remaining transaction price it also included estimated discounts for future service periods beyond April. These modifications had an immaterial impact on the Company’s revenues for the first quarter of 2020. For additional discussion of fee reductions provided to customers announced subsequent to March 31, 2020, refer to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3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 and Intangibles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ASU 2017-04 simplifies the accounting for goodwill impairment by eliminating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ASU 2017-04, goodwill impairment is recognized based on Step 1 of the goodwill impairment test, which calculates the carrying value in excess of the reporting unit’s fair value. The standard was effective beginning in January 2020, with early adoption permitted. The Company adopted the guidance on January 1, 2020 and applied it on a prospective basis. The adoption did not have a material impact on the Unaudited Condensed Consolidated Financial Statements.</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and its subsequent related updates establish a forward-looking “expected loss model” that requires entities to estimate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on accounts receivable and financial instruments by using all practical and relevant information. ASU 2016-13 and its subsequent related updates were effective for fiscal years beginning after December 15, 2019, including interim periods within those fiscal years, with early adoption permitted. The Company adopted the guidance on January 1, 2020 and applied it on a prospective basis. The adoption did not have a material impact on the Unaudited Condensed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 Simplifying the Accounting for Income Taxes</w:t>
      </w:r>
      <w:r>
        <w:rPr>
          <w:rFonts w:ascii="Arial" w:cs="Arial" w:eastAsia="Arial" w:hAnsi="Arial"/>
          <w:sz w:val="18"/>
          <w:szCs w:val="18"/>
          <w:color w:val="auto"/>
        </w:rPr>
        <w:t>. The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is currently assessing the impact that adopting this guidance will have on its Unaudited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4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212529"/>
        </w:rPr>
        <w:t>On January 16, 2020, the Company acquired Autolist, an automotive shopping platform based in San Francisco, California, pursuant to an Agreement and Plan of Merger by and among the Company, Alpine Merger Sub, Inc., a Delaware corporation and wholly-owned subsidiary of the Company (“Merger Sub”), Auto List, Inc., a Delaware corporation (“Target”), and the securityholders’ representative therein, pursuant to which, among other things, the Company acquired Target through the merger of Merger Sub with and into Target (the “Merger”), with Target surviving as a wholly owned subsidiary of the Company. The Company paid an aggregate of $21.0 million, net of cash acquired, to consummate the Merger. The amount paid includes $2.2 million that is held in escrow to secure post-closing claims. The Merger is intended to both expand the Company’s consumer audience in the United States and enhance its value proposition for subscribing dealers.</w:t>
      </w:r>
    </w:p>
    <w:p>
      <w:pPr>
        <w:spacing w:after="0" w:line="19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As of March 31, 2020, the Company incurred total acquisition-related costs of $1.4 million related to the Merger. For the three months ended March 31, 2020 the Company incurred total acquisition-related costs of $0.9 million. Acquisition-related costs were excluded from the purchase price allocation as they were primarily comprised of one-time severance and bonus related expenses. For the three months ended March 31, 2020, $0.5 million, $0.2 million and $0.2 million of acquisition-related costs were recorded as operating expense and allocated to product, technology, and development, general and administrative, and sales and marketing, respectively, within the Unaudited Condensed Consolidated Income Statement.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firstLine="510"/>
        <w:spacing w:after="0" w:line="257"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acquired assets and assumed liabilities. The following table presents the preliminary purchase price allocation recorded in the Company’s Unaudited Condensed Consolidated Balance Sheet as of the acquisition date, which is subject to finalization for estimates of the fair value of assets acquired and liabilities assumed as of the acquisition date, including, but not limited to tangible assets, intangible assets and tax-related items, and the related tax and effects of any changes made:</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Estimated Fair</w:t>
            </w:r>
          </w:p>
        </w:tc>
      </w:tr>
      <w:tr>
        <w:trPr>
          <w:trHeight w:val="148"/>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Value at Date</w:t>
            </w:r>
          </w:p>
        </w:tc>
      </w:tr>
      <w:tr>
        <w:trPr>
          <w:trHeight w:val="17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of Acquisition</w:t>
            </w:r>
          </w:p>
        </w:tc>
      </w:tr>
      <w:tr>
        <w:trPr>
          <w:trHeight w:val="223"/>
        </w:trPr>
        <w:tc>
          <w:tcPr>
            <w:tcW w:w="8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r>
      <w:tr>
        <w:trPr>
          <w:trHeight w:val="22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20" w:type="dxa"/>
            <w:vAlign w:val="bottom"/>
            <w:shd w:val="clear" w:color="auto" w:fill="CFF0FC"/>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19"/>
                <w:szCs w:val="19"/>
                <w:color w:val="auto"/>
              </w:rPr>
            </w:pPr>
          </w:p>
        </w:tc>
      </w:tr>
      <w:tr>
        <w:trPr>
          <w:trHeight w:val="22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shd w:val="clear" w:color="auto" w:fill="CFF0FC"/>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Operating lease right-of-use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9"/>
                <w:szCs w:val="19"/>
                <w:color w:val="auto"/>
              </w:rPr>
            </w:pPr>
          </w:p>
        </w:tc>
      </w:tr>
      <w:tr>
        <w:trPr>
          <w:trHeight w:val="230"/>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r>
      <w:tr>
        <w:trPr>
          <w:trHeight w:val="22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Operating lease liabilities - non-current</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(1,723)</w:t>
            </w:r>
          </w:p>
        </w:tc>
      </w:tr>
      <w:tr>
        <w:trPr>
          <w:trHeight w:val="229"/>
        </w:trPr>
        <w:tc>
          <w:tcPr>
            <w:tcW w:w="8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tax liability </w:t>
            </w:r>
            <w:r>
              <w:rPr>
                <w:rFonts w:ascii="Arial" w:cs="Arial" w:eastAsia="Arial" w:hAnsi="Arial"/>
                <w:sz w:val="15"/>
                <w:szCs w:val="15"/>
                <w:color w:val="auto"/>
              </w:rPr>
              <w:t>(3)</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(843)</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purchase price</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21,274</w:t>
            </w:r>
          </w:p>
        </w:tc>
        <w:tc>
          <w:tcPr>
            <w:tcW w:w="12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80" w:hanging="373"/>
        <w:spacing w:after="0" w:line="268"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brand, developed technology, and customer relationships of $5,600, $1,200 and $800, respectively, with estimated useful lives of 9 years, 3 years and 3 years, respectively, which will be amortized on a straight-line basis over their estimated useful lives. The fair value of the brand has been estimated using the multi-period excess earnings method which is a variation of the income approach. The fair value of the development technology and customer relationships has been estimated using a cost approach, which assesses the cost to redevelop the app and technology, and relationships, respectively.</w:t>
      </w:r>
    </w:p>
    <w:p>
      <w:pPr>
        <w:spacing w:after="0" w:line="2" w:lineRule="exact"/>
        <w:rPr>
          <w:rFonts w:ascii="Arial" w:cs="Arial" w:eastAsia="Arial" w:hAnsi="Arial"/>
          <w:sz w:val="17"/>
          <w:szCs w:val="17"/>
          <w:color w:val="auto"/>
        </w:rPr>
      </w:pPr>
    </w:p>
    <w:p>
      <w:pPr>
        <w:jc w:val="both"/>
        <w:ind w:left="880" w:hanging="373"/>
        <w:spacing w:after="0" w:line="26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goodwill represents the excess value of the purchase price over net assets acquired. The goodwill in this transaction is primarily attributable to expected consumer traffic growth and shopper connections for dealers across both the CarGurus and Autolist websites, creating additional value for the Company’s premium subscription customers. All goodwill is assigned to the United States reporting segment. The acquisition of Autolist is treated as a stock acquisition for tax purposes and goodwill is not deductible for tax purposes.</w:t>
      </w:r>
    </w:p>
    <w:p>
      <w:pPr>
        <w:ind w:left="880" w:right="20" w:hanging="373"/>
        <w:spacing w:after="0" w:line="290"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estimated deferred tax liability corresponds to the acquired intangible assets which have no tax basis. As a result of the estimated deferred tax liability, an adjustment was recorded to goodwill to account for the tax effect of the estimated deferred tax liability.</w:t>
      </w:r>
    </w:p>
    <w:p>
      <w:pPr>
        <w:spacing w:after="0" w:line="18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Actual and pro forma results for this acquisition have not been presented as the financial impact to the Company’s Unaudited Condensed Consolidated Financial Statements is not material.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for each of the fair value levels, the Company’s assets that are measured at fair value on a recurring basis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at December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At March 31, 2020</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81,281</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9"/>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At December 31, 2019</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2 Inputs)</w:t>
            </w:r>
          </w:p>
        </w:tc>
        <w:tc>
          <w:tcPr>
            <w:tcW w:w="116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March 31, 2020 and December 31, 2019 had maturity dates of one year or less.</w:t>
      </w:r>
    </w:p>
    <w:p>
      <w:pPr>
        <w:spacing w:after="0" w:line="26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March 31, 2020 and December 31, 2019.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three months ended March 31, 2020 or the year ended December 31, 2019.</w:t>
      </w:r>
    </w:p>
    <w:p>
      <w:pPr>
        <w:spacing w:after="0" w:line="18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investments as of March 31, 2020 and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At March 31, 2020</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14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At December 31, 2019</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14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38"/>
              <w:spacing w:after="0"/>
              <w:rPr>
                <w:sz w:val="20"/>
                <w:szCs w:val="20"/>
                <w:color w:val="auto"/>
              </w:rPr>
            </w:pPr>
            <w:r>
              <w:rPr>
                <w:rFonts w:ascii="Arial" w:cs="Arial" w:eastAsia="Arial" w:hAnsi="Arial"/>
                <w:sz w:val="18"/>
                <w:szCs w:val="18"/>
                <w:color w:val="auto"/>
                <w:w w:val="89"/>
              </w:rPr>
              <w:t>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w:t>
            </w:r>
          </w:p>
        </w:tc>
      </w:t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Capitalized software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 costs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6,809</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19,507</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46,105</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(20,568)</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(18,155)</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Depreciation and amortization expense, excluding amortization of intangible assets, was $2,558 and $1,472 for the three months ended March 31, 2020 and 2019,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The changes in the carrying value of goodwill were as follows: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Autolist acquisition</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7600" w:type="dxa"/>
            <w:vAlign w:val="bottom"/>
            <w:gridSpan w:val="2"/>
          </w:tcPr>
          <w:p>
            <w:pPr>
              <w:ind w:left="1180"/>
              <w:spacing w:after="0"/>
              <w:rPr>
                <w:sz w:val="20"/>
                <w:szCs w:val="20"/>
                <w:color w:val="auto"/>
              </w:rPr>
            </w:pPr>
            <w:r>
              <w:rPr>
                <w:rFonts w:ascii="Arial" w:cs="Arial" w:eastAsia="Arial" w:hAnsi="Arial"/>
                <w:sz w:val="18"/>
                <w:szCs w:val="18"/>
                <w:color w:val="auto"/>
              </w:rPr>
              <w:t>Balance at March 31, 2020</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tests goodwill for impairment at least annually or whenever events or changes in circumstances indicate that the carrying value may not be recoverable. As a result of the COVID-19 pandemic, the Company assessed its goodwill for impairment concluding that there was no impairment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March 31, 2020 and December 31, 2019 consist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At March 31, 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12,087</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At December 31, 2019</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5" w:name="page16"/>
    <w:bookmarkEnd w:id="15"/>
    <w:p>
      <w:pPr>
        <w:jc w:val="both"/>
        <w:ind w:right="20" w:firstLine="510"/>
        <w:spacing w:after="0" w:line="277" w:lineRule="auto"/>
        <w:rPr>
          <w:sz w:val="20"/>
          <w:szCs w:val="20"/>
          <w:color w:val="auto"/>
        </w:rPr>
      </w:pPr>
      <w:r>
        <w:rPr>
          <w:rFonts w:ascii="Arial" w:cs="Arial" w:eastAsia="Arial" w:hAnsi="Arial"/>
          <w:sz w:val="18"/>
          <w:szCs w:val="18"/>
          <w:color w:val="auto"/>
        </w:rPr>
        <w:t>The Company recorded amortization expense related to intangible assets of $432 and $155 for the three months ended March 31, 2020 and 2019, respectively.</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estimated useful life of the PistonHeads brand and customer relationships is 11 years and 3 years, respectively. The estimated useful life of the Autolist brand, customer relationships and developed technology is 9 years, 3 years and 3 years, respectively. The Company evaluates the useful lives of these assets on an annual basis and tests for impairment whenever events or changes in circumstances occur that could impact the recoverability of these assets. As a result of the COVID-19 pandemic, the Company assessed its long-lived assets for impairment and concluded that there was no impairment as of March 31, 2020.</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March 31,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6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Expenses, Accrued Income Taxes and Other Current Liabilities</w:t>
            </w: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gridSpan w:val="4"/>
          </w:tcPr>
          <w:p>
            <w:pPr>
              <w:jc w:val="right"/>
              <w:spacing w:after="0"/>
              <w:rPr>
                <w:sz w:val="20"/>
                <w:szCs w:val="20"/>
                <w:color w:val="auto"/>
              </w:rPr>
            </w:pPr>
            <w:r>
              <w:rPr>
                <w:rFonts w:ascii="Arial" w:cs="Arial" w:eastAsia="Arial" w:hAnsi="Arial"/>
                <w:sz w:val="18"/>
                <w:szCs w:val="18"/>
                <w:color w:val="auto"/>
                <w:w w:val="97"/>
              </w:rPr>
              <w:t>Accrued expenses, accrued income taxes and other current liabilities consist of the following:</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68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Customer credit balances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6,055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accrued income taxes and other</w:t>
            </w: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7,043</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The decrease of $7,762 in accrued bonus balances is primarily due to the payout of the fiscal year 2019 bonus in the first quarter of 2020 as well as a lower overall estimated bonus payout for fiscal year 2020. The increase of $4,993 in customer credit balances is primarily due to credits owed to customers who paid their full April balances before the Company issued concessions in response to the COVID-19 pandemic (Note 2). These payments in advance of service would otherwise have been classified in deferred revenue as of March 31, 2020.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8"/>
          <w:szCs w:val="18"/>
          <w:color w:val="auto"/>
        </w:rPr>
        <w:t>All of the Company’s property, equipment, and internal-use software have been purchased with cash with the exception of $967 of unpaid property and equipment and immaterial amounts related to obligations under one finance lease as of March 31, 2020. The Company has no material long-term purchase obligations outstanding with any vendor or third party.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Company's operating lease obligations consist of various leases for office space in: Boston, Massachusetts; Cambridge, Massachusetts; Detroit, Michigan; Los Angeles, California; San Francisco, California; Austin Texas; New York City, New York; Dublin, Ireland; and London, United Kingdom. The Detroit, Los Angeles, Austin, New York City and London leases are immaterial to the Company. The Los Angeles and New York City leases will be terminated in the second quarter of 2020. The Company also has an operating lease obligation for data center space in Needham, Massachusetts.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firstLine="510"/>
        <w:spacing w:after="0" w:line="277" w:lineRule="auto"/>
        <w:rPr>
          <w:sz w:val="20"/>
          <w:szCs w:val="20"/>
          <w:color w:val="auto"/>
        </w:rPr>
      </w:pPr>
      <w:r>
        <w:rPr>
          <w:rFonts w:ascii="Arial" w:cs="Arial" w:eastAsia="Arial" w:hAnsi="Arial"/>
          <w:sz w:val="18"/>
          <w:szCs w:val="18"/>
          <w:color w:val="auto"/>
        </w:rPr>
        <w:t>As of March 31, 2020, there were no material changes in the Company’s leases from those disclosed in the 2019 Annual Report, other than as discussed below.</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January 10, 2019, Auto List, Inc., which the Company acquired on January 16, 2020, entered into an operating lease in San Francisco, California at 332 Pine St. for the lease of 6,345 square feet of office space with a non-cancellable lease term through 2024. The lease provides for annual rent increases through the term of the lease.</w:t>
      </w:r>
    </w:p>
    <w:p>
      <w:pPr>
        <w:spacing w:after="0" w:line="184"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recorded as restricted cash within the Unaudited Condensed Consolidated Balance Sheet. At March 31, 2020 and December 31, 2019, restricted cash was $11,020 and $10,803,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At March 31, 2020 and December 31, 2019,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on the Unaudited Condensed Consolidated Balance Sheet. Additionally, the Company’s lease agreement for 121 First St. in Cambridge, Massachusetts has an associated security deposit, which is recorded in other assets, net within the Unaudited Condensed Consolidated Balance Sheet.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7"/>
          <w:szCs w:val="17"/>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 Based on historical experience and information known at March 31, 2020 and December 31, 2019, the Company has not incurred any costs for guarantees or indemnities.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Total stock-based compensation expense was $11,681 and $7,686 for the three months ended March 31, 2020 and 2019. The following two tables show stock compensation expense by award type and where the stock compensation expense is recorded in the Company’s Unaudited Condensed Consolidated Income Statements:</w:t>
      </w:r>
    </w:p>
    <w:p>
      <w:pPr>
        <w:spacing w:after="0" w:line="189"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Three Months Ended</w:t>
      </w:r>
    </w:p>
    <w:p>
      <w:pPr>
        <w:jc w:val="center"/>
        <w:ind w:left="5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8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79"/>
              </w:rPr>
              <w:t>51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18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7,635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7"/>
              </w:rPr>
              <w:t>Total stock-based compensation expense</w:t>
            </w:r>
          </w:p>
        </w:tc>
        <w:tc>
          <w:tcPr>
            <w:tcW w:w="1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11,681</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8"/>
              </w:rPr>
              <w:t>7,686</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00" w:type="dxa"/>
            <w:vAlign w:val="bottom"/>
            <w:gridSpan w:val="2"/>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9"/>
              </w:rPr>
              <w:t>81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2,312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8"/>
              </w:rPr>
              <w:t>3,183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8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2,110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7"/>
              </w:rPr>
              <w:t>Total stock-based compensation expense</w:t>
            </w:r>
          </w:p>
        </w:tc>
        <w:tc>
          <w:tcPr>
            <w:tcW w:w="19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11,681</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8"/>
              </w:rPr>
              <w:t>7,686</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80" w:type="dxa"/>
            <w:vAlign w:val="bottom"/>
            <w:vMerge w:val="restart"/>
          </w:tcPr>
          <w:p>
            <w:pPr>
              <w:jc w:val="right"/>
              <w:ind w:right="127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right="20" w:firstLine="510"/>
        <w:spacing w:after="0" w:line="277" w:lineRule="auto"/>
        <w:rPr>
          <w:sz w:val="20"/>
          <w:szCs w:val="20"/>
          <w:color w:val="auto"/>
        </w:rPr>
      </w:pPr>
      <w:r>
        <w:rPr>
          <w:rFonts w:ascii="Arial" w:cs="Arial" w:eastAsia="Arial" w:hAnsi="Arial"/>
          <w:sz w:val="18"/>
          <w:szCs w:val="18"/>
          <w:color w:val="auto"/>
        </w:rPr>
        <w:t>Excluded from stock-based compensation expense is $248 and $309 of capitalized website development and internal-use software costs for the three months ended March 31, 2020 and 2019.</w:t>
      </w:r>
    </w:p>
    <w:p>
      <w:pPr>
        <w:spacing w:after="0" w:line="21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During the three months ended March 31, 2020 and 2019, the Company withheld 106,934, and 102,034 shares of Class A common stock, respectively, to satisfy employee tax withholding requirements due to net share settlements. The shares withheld return to the authorized, but unissued pool under the Company’s Omnibus Equity Compensation Plan and can be reissued by the Company. Total payments for the employees’ tax obligations to the taxing authorities due to net share settlements were $3,397 and $3,954 for the three months ended March 31, 2020 and 2019, respectively, and are reflected as a financing activity within the Unaudited Condensed Consolidated Statements of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ind w:firstLine="510"/>
        <w:spacing w:after="0" w:line="313" w:lineRule="auto"/>
        <w:rPr>
          <w:sz w:val="20"/>
          <w:szCs w:val="20"/>
          <w:color w:val="auto"/>
        </w:rPr>
      </w:pPr>
      <w:r>
        <w:rPr>
          <w:rFonts w:ascii="Arial" w:cs="Arial" w:eastAsia="Arial" w:hAnsi="Arial"/>
          <w:sz w:val="16"/>
          <w:szCs w:val="16"/>
          <w:color w:val="auto"/>
        </w:rPr>
        <w:t>Net income per share for the three months ended March 31, 2020 and 2019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47"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31"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8"/>
          <w:szCs w:val="18"/>
          <w:color w:val="auto"/>
        </w:rPr>
        <w:t>During the three months ended March 31, 2020, holders of Class B common stock converted 335,741 shares of Class B common stock to Class A common stock. During the three months ended March 31, 2019, no holders of Class B common stock converted shares of Class B common stock to Class A common stock.</w:t>
      </w:r>
    </w:p>
    <w:p>
      <w:pPr>
        <w:spacing w:after="0" w:line="16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Diluted net income per share gives effect to all potentially dilutive securities. Potential dilutive securities for the three months ended March 31, 2020 and 2019 consist of shares of common stock issuable upon the exercise of stock options and shares of common stock issuable upon the vesting of restricted stock units (“RSUs”). The dilutive effect of these common stock equivalents is reflected in diluted earnings per share by application of the treasury stock method.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months ended March 31, 2020 and 2019, diluted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6"/>
          <w:szCs w:val="16"/>
          <w:color w:val="auto"/>
        </w:rPr>
        <w:t>The following table presents a reconciliation of the numerator and denominator used in the calculation of basic and diluted net income per share:</w:t>
      </w:r>
    </w:p>
    <w:p>
      <w:pPr>
        <w:spacing w:after="0" w:line="4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628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12,696</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8"/>
                <w:szCs w:val="18"/>
                <w:color w:val="auto"/>
              </w:rPr>
              <w:t>Weighted-average number of shares of common stock used in</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8"/>
                <w:szCs w:val="18"/>
                <w:color w:val="auto"/>
              </w:rPr>
              <w:t>computing net income per share attributable to common</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stockholders — basic</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112,355,093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110,800,037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effect of share equivalents resulting from stock options</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796,884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60"/>
              <w:spacing w:after="0"/>
              <w:rPr>
                <w:sz w:val="20"/>
                <w:szCs w:val="20"/>
                <w:color w:val="auto"/>
              </w:rPr>
            </w:pPr>
            <w:r>
              <w:rPr>
                <w:rFonts w:ascii="Arial" w:cs="Arial" w:eastAsia="Arial" w:hAnsi="Arial"/>
                <w:sz w:val="18"/>
                <w:szCs w:val="18"/>
                <w:color w:val="auto"/>
              </w:rPr>
              <w:t>Dilutive effect of share equivalents resulting from unvested</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restricted stock units</w:t>
            </w:r>
          </w:p>
        </w:tc>
        <w:tc>
          <w:tcPr>
            <w:tcW w:w="14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338,015</w:t>
            </w:r>
          </w:p>
        </w:tc>
        <w:tc>
          <w:tcPr>
            <w:tcW w:w="3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1,156,207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number of shares of common stock used in</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 diluted</w:t>
            </w:r>
          </w:p>
        </w:tc>
        <w:tc>
          <w:tcPr>
            <w:tcW w:w="14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113,489,992</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113,406,320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8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4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weighted-average shares outstanding for the three months ended March 31, 2020 and 2019, as their effect would have been anti-dilutive for the periods presented:</w:t>
      </w:r>
    </w:p>
    <w:p>
      <w:pPr>
        <w:spacing w:after="0" w:line="15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2,825,609</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858,417</w:t>
            </w:r>
          </w:p>
        </w:tc>
        <w:tc>
          <w:tcPr>
            <w:tcW w:w="10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3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During the three months ended March 31, 2020, the Company recorded an income tax provision of $51 representing an effective tax rate of 0.4%. The effective tax rate for the three months ended March 31, 2020 was lower than the statutory tax rate of 21% principally due to a discrete benefit recognized as a result of the enactment of the CARES Act (as defined below), excess stock deductions from the taxable compensation of share-based awards and federal and state research and development tax credits, partially offset by state and local income taxes.</w:t>
      </w:r>
    </w:p>
    <w:p>
      <w:pPr>
        <w:spacing w:after="0" w:line="21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three months ended March 31, 2019, the Company recorded an income tax benefit of $3,503, representing an effective tax rate of (38.6)%. The effective tax rate for the three months ended March 31, 2019 was lower than the statutory tax rate of 21% principally due to the excess stock deductions from the taxable compensation of stock-based awards and federal and state research and development tax credits, partially offset by state and local income taxes.</w:t>
      </w:r>
    </w:p>
    <w:p>
      <w:pPr>
        <w:spacing w:after="0" w:line="22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and its subsidiaries are subject to various U.S. federal, state, and foreign income taxes. The Company is currently not subject to examination under the statute of limitations by the Internal Revenue Service and state jurisdictions for the tax years of 2015 and prior. The Company is currently open to examination in its foreign jurisdictions for tax years 2017 and after. In 2019, the Internal Revenue Service commenced a federal employment tax audit with respect to the 2016, 2017 and 2018 calendar years, which is still open.</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March 27, 2020, the United States enacted the Coronavirus Aid, Relief, and Economic Security Act (the “CARES Act”). Among other things, the CARES Act includes a net operating loss (“NOL”) carryback provision allowing for NOLs from the 2018, 2019, or 2020 tax years to be used to offset taxable income for the 2013 to 2017 tax years. The Company has performed an initial analysis and intends to avail itself of this option, which will reduce its current gross NOL balance by approximately $18,723 and increase its deferred federal research and development credit by approximately $2,645. The Company does not expect this election to negatively impact its analysis on the valuation allowance for its NOLs or deferred federal research and development credit.</w:t>
      </w:r>
    </w:p>
    <w:p>
      <w:pPr>
        <w:spacing w:after="0" w:line="19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CARES Act also updates the Tax Cuts and Jobs Act of 2017, allowing for the depreciation of leasehold improvements over 15 years, rather than 39 years, and eligibility for bonus depreciation, rather than non-eligibility for bonus depreciation. Although the Company continues to analyze the impact of these allowances, including any possible benefit to the 2018 tax year, the Company has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made an estimate for the impact as it relates to the 2019 tax year and will file its 2019 return in accordance with the updated guidance in the CARES Act.</w:t>
      </w:r>
    </w:p>
    <w:p>
      <w:pPr>
        <w:spacing w:after="0" w:line="24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8"/>
          <w:szCs w:val="18"/>
          <w:color w:val="auto"/>
        </w:rPr>
        <w:t>The CARES Act includes other provisions that may be utilized if the Company meets the eligibility requirements. Although the Company continues to review and evaluate the potential impact and benefit of the CARES Act on its entire business, the Company has primarily focused its review on three provisions that affect both income taxes and non-income taxes. First, the CARES Act temporarily removes the 80% limitation on NOLs to offset taxable income for tax years prior to 2021. Second, the CARES Act allows for the deferral of the employer portion of the Social Security Tax for up to two years, with half due by December 31, 2021 and the remainder due by December 31, 2022. Finally, the Company is evaluating whether it qualifies for the Employee Retention Credit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30"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6"/>
        </w:trPr>
        <w:tc>
          <w:tcPr>
            <w:tcW w:w="69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148,006</w:t>
            </w:r>
          </w:p>
        </w:tc>
        <w:tc>
          <w:tcPr>
            <w:tcW w:w="260" w:type="dxa"/>
            <w:vAlign w:val="bottom"/>
          </w:tcPr>
          <w:p>
            <w:pPr>
              <w:spacing w:after="0"/>
              <w:rPr>
                <w:sz w:val="19"/>
                <w:szCs w:val="19"/>
                <w:color w:val="auto"/>
              </w:rPr>
            </w:pP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128,403</w:t>
            </w: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135,270</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20,262</w:t>
            </w:r>
          </w:p>
        </w:tc>
        <w:tc>
          <w:tcPr>
            <w:tcW w:w="260" w:type="dxa"/>
            <w:vAlign w:val="bottom"/>
          </w:tcPr>
          <w:p>
            <w:pPr>
              <w:spacing w:after="0"/>
              <w:rPr>
                <w:sz w:val="19"/>
                <w:szCs w:val="19"/>
                <w:color w:val="auto"/>
              </w:rPr>
            </w:pP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(8,243)</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(9,946)</w:t>
            </w:r>
          </w:p>
        </w:tc>
      </w:tr>
      <w:tr>
        <w:trPr>
          <w:trHeight w:val="223"/>
        </w:trPr>
        <w:tc>
          <w:tcPr>
            <w:tcW w:w="6940" w:type="dxa"/>
            <w:vAlign w:val="bottom"/>
          </w:tcPr>
          <w:p>
            <w:pPr>
              <w:ind w:left="480"/>
              <w:spacing w:after="0"/>
              <w:rPr>
                <w:sz w:val="20"/>
                <w:szCs w:val="20"/>
                <w:color w:val="auto"/>
              </w:rPr>
            </w:pPr>
            <w:r>
              <w:rPr>
                <w:rFonts w:ascii="Arial" w:cs="Arial" w:eastAsia="Arial" w:hAnsi="Arial"/>
                <w:sz w:val="18"/>
                <w:szCs w:val="18"/>
                <w:color w:val="auto"/>
              </w:rPr>
              <w:t>Total income from operations</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As of March 31, 2020, total assets held outside of the United States were $29,357, primarily attributable to $14,889 of goodwill and $3,676 of intangible assets. </w:t>
      </w:r>
      <w:r>
        <w:rPr>
          <w:rFonts w:ascii="Arial" w:cs="Arial" w:eastAsia="Arial" w:hAnsi="Arial"/>
          <w:sz w:val="18"/>
          <w:szCs w:val="18"/>
          <w:color w:val="212529"/>
        </w:rPr>
        <w:t>As of</w:t>
      </w:r>
      <w:r>
        <w:rPr>
          <w:rFonts w:ascii="Arial" w:cs="Arial" w:eastAsia="Arial" w:hAnsi="Arial"/>
          <w:sz w:val="18"/>
          <w:szCs w:val="18"/>
          <w:color w:val="auto"/>
        </w:rPr>
        <w:t xml:space="preserve"> December 31, 2019</w:t>
      </w:r>
      <w:r>
        <w:rPr>
          <w:rFonts w:ascii="Arial" w:cs="Arial" w:eastAsia="Arial" w:hAnsi="Arial"/>
          <w:sz w:val="18"/>
          <w:szCs w:val="18"/>
          <w:color w:val="212529"/>
        </w:rPr>
        <w:t>, total assets held outside of the United States were $32,528, primarily attributable to $15,207 of goodwill and</w:t>
      </w:r>
      <w:r>
        <w:rPr>
          <w:rFonts w:ascii="Arial" w:cs="Arial" w:eastAsia="Arial" w:hAnsi="Arial"/>
          <w:sz w:val="18"/>
          <w:szCs w:val="18"/>
          <w:color w:val="auto"/>
        </w:rPr>
        <w:t xml:space="preserve"> </w:t>
      </w:r>
      <w:r>
        <w:rPr>
          <w:rFonts w:ascii="Arial" w:cs="Arial" w:eastAsia="Arial" w:hAnsi="Arial"/>
          <w:sz w:val="18"/>
          <w:szCs w:val="18"/>
          <w:color w:val="212529"/>
        </w:rPr>
        <w:t>$3,920 of intangible assets. The Company will be ceasing the operations of the International segment online marketplaces in Germany, Italy, and Spain in the second quarter of 2020.</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3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April 13, 2020, the Board of Directors (the “Board”) of the Company approved an expense reduction plan to address the impact of the COVID-19 pandemic on the Company’s business (the “Expense Reduction Plan”), pursuant to which the Company initiated a reduction in its workforce of approximately 13%, will cease operation of its Germany, Italy and Spain marketplaces, and is halting expansion efforts in any new international markets. The Company expects to incur total estimated pre-tax restructuring and related charges of approximately $4.3 million during the second quarter of 2020 to implement the Expense Reduction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approximately 75% of which is related to employee severance and related benefits costs, with the remainder attributable to the write-off of long-lived assets from international marketplaces. The Company expects that approximately $2.6 million of these charges will result in future cash expenditures. The discontinuation of operations in certain markets does not impact the Company’s segment reporting.</w:t>
      </w:r>
    </w:p>
    <w:p>
      <w:pPr>
        <w:spacing w:after="0" w:line="22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April 16, 2020, in response to the COVID-19 pandemic, the Company announced a 50% fee reduction on all May marketplace subscriptions for paying dealers in the United States, Canada and the United Kingdom and suspension of all charges for paying dealers in Italy as the Company intends to cease the operations of its Italian marketplace in the second quarter of 2020. On April 29, 2020, in further response to the COVID-19 pandemic, the Company announced a 20% and 50% fee reduction on all June marketplace subscriptions for paying dealers in the United States and United Kingdom, respectively. On May 5, 2020, the Company also announced a 20% fee reduction on all June marketplace subscriptions for paying dealers in Canada. These modifications had an immaterial impact on the Company’s revenues for the first quarter of 2020. The Company expects these fee reductions, together with the fee reductions for the April service period, to negatively impact revenue for the second quarter of 2020 by approximately $50.0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2019, filed with the Securities and Exchange Commission, or SEC, on February 14, 2020, or our 2019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validation on pricing and dealer reputation as well as other information that aids them in finding “Great Deals from Top-Rated Dealers.” In addition to the United States, we operate online marketplaces under the CarGurus brand in Canada and the United Kingdom. We also operate online marketplaces in Germany, Italy, and Spain; we intend to cease the operations of each of these marketplaces in the second quarter of 2020. </w:t>
      </w:r>
      <w:r>
        <w:rPr>
          <w:rFonts w:ascii="Arial" w:cs="Arial" w:eastAsia="Arial" w:hAnsi="Arial"/>
          <w:sz w:val="18"/>
          <w:szCs w:val="18"/>
          <w:color w:val="212529"/>
        </w:rPr>
        <w:t>In the United States and the United Kingdom, we also operate the Autolist and PistonHeads online marketplaces, respectively,</w:t>
      </w:r>
      <w:r>
        <w:rPr>
          <w:rFonts w:ascii="Arial" w:cs="Arial" w:eastAsia="Arial" w:hAnsi="Arial"/>
          <w:sz w:val="18"/>
          <w:szCs w:val="18"/>
          <w:color w:val="auto"/>
        </w:rPr>
        <w:t xml:space="preserve"> </w:t>
      </w:r>
      <w:r>
        <w:rPr>
          <w:rFonts w:ascii="Arial" w:cs="Arial" w:eastAsia="Arial" w:hAnsi="Arial"/>
          <w:sz w:val="18"/>
          <w:szCs w:val="18"/>
          <w:color w:val="212529"/>
        </w:rPr>
        <w:t>as independent brands.</w:t>
      </w:r>
    </w:p>
    <w:p>
      <w:pPr>
        <w:spacing w:after="0" w:line="20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generate marketplace subscription revenue from dealers primarily through Listings and Dealer Display subscriptions, and advertising and other revenue from automobile manufacturers and other auto-related brand advertisers as well as partnerships with financing services companies. Our revenue for the three months ended March 31, 2020 was $157.7 million, a 17% increase from $135.3 million of revenue in the three months ended March 31, 2019.</w:t>
      </w:r>
    </w:p>
    <w:p>
      <w:pPr>
        <w:spacing w:after="0" w:line="14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For the three months ended March 31, 2020, we generated net income of $12.7 million and our Adjusted EBITDA was $27.6 million, compared to net income of $12.6 million and Adjusted EBITDA of $16.8 million for the three months ended March 31, 2019. See “Adjusted EBITDA” below for more information regarding our use of Adjusted EBITDA, a non-GAAP financial measure, and a reconciliation of Adjusted EBITDA to our net income.</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have two reportable segments, United States and International. See Note 12 of our Unaudited Condensed Consolidated Financial Statements included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December 2019, a novel strain of coronavirus, or COVID-19, surfaced in Wuhan, China and in January 2020, the World Health Organization, or the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long-term implications of the COVID-19 pandemic and the resulting global crisis on our results of operations and overall financial performance remain uncertain. The COVID-19 pandemic and its adverse effects have become widespread in the locations where we, and our customers, suppliers and third-party business partners conduct business and as a result, we have experienced disruptions in our operations.</w:t>
      </w:r>
    </w:p>
    <w:p>
      <w:pPr>
        <w:spacing w:after="0" w:line="16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For example, in an effort to limit the spread of COVID-19, several countries, including the United States, have placed significant restrictions on travel and many businesses have announced extended closures. In March, we closed all of our offices (including our corporate headquarters) in the United States, Ireland and United Kingdom and began requiring our employees to work remotely. A number of states and other governments have issued shelter in place or stay-at-home orders and have restricted the ability to buy and sell automobiles by excluding dealerships from the list of essential businesses and/or by closing the agencies that process the transfer of automotive titles. In addition, as a result of these restrictions and concerns about the spread of the disease,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operations of car dealerships have been disrupted, which has adversely affected the market for automobile purchases. As a result of these restrictions and the impact on their businesses, a number of our paying dealers have temporarily closed, plan to temporarily close or are operating on a reduced capacity, and many dealerships are facing significant financial challenges.</w:t>
      </w:r>
    </w:p>
    <w:p>
      <w:pPr>
        <w:spacing w:after="0" w:line="18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On March 18, 2020, in response to the COVID-19 pandemic, we announced a 50% fee reduction on all marketplace subscriptions for the April service period for paying dealers in the United States, Canada and the United Kingdom, as well as a suspension of all charges for paying dealers in Italy as we intend to cease the operations of our Italian marketplace in the second quarter of 2020. This discount resulted in a modification to contracts with initial contractual periods greater than one month. For any contract modified, we calculated the remaining transaction price and allocated the consideration over the remaining performance obligations. In our calculation of the remaining transaction price we also included estimated discounts for future service periods. These modifications had an immaterial impact on our revenues for the first quarter of 2020. On April 16, 2020, we announced a 50% fee reduction on all May marketplace subscriptions for paying dealers in the United States, Canada and the United Kingdom, as well as a continuation of our suspension of all charges for paying dealers in Italy. On April 29, 2020, in further response to the COVID-19 pandemic, we announced a 20% and 50% fee reduction on all June marketplace subscriptions for paying dealers in the United States and United Kingdom, respectively. On May 5, 2020, we also announced a 20% fee reduction on all June marketplace subscriptions for paying dealers in Canada. We expect these fee reductions, together with the fee reductions for the April service period, to negatively impact revenue for the second quarter of 2020 by approximately $50.0 million.</w:t>
      </w:r>
    </w:p>
    <w:p>
      <w:pPr>
        <w:spacing w:after="0" w:line="17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experienced and may continue to experience constrained customer demand that could have a materially adverse impact on our business, results of operations and overall financial performance. Specifically, we have experienced and may continue to experience an adverse impact on our revenue as a result of customers cancelling their subscriptions due to closures of their dealerships and customers reducing advertising spend due to cost constraints, as well as our issuance of discounts to our paying dealers.</w:t>
      </w:r>
    </w:p>
    <w:p>
      <w:pPr>
        <w:spacing w:after="0" w:line="1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212529"/>
        </w:rPr>
        <w:t>As a result of the customer discounts that we announced for the April, May and June service periods, we will generate much less revenue from our paying dealers in the near term. In an effort to offset this decrease in near term revenue, we initiated a reduction in our workforce of approximately 13% and are implementing several other cost saving initiatives. These cost saving initiatives include a reduction in consumer marketing spend and a reduction in discretionary spend across the business as well as a 50% executive base salary reduction for three months. Additionally, we decided to cease marketplace operations in Germany, Italy, and Spain, and halt new international expansion efforts, which we believe will allow us to focus our financial and human capital resources on our more established international markets in Canada and the United Kingdom.</w:t>
      </w:r>
    </w:p>
    <w:p>
      <w:pPr>
        <w:spacing w:after="0" w:line="16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While our near term revenue and earnings had been relatively predictable as a result of our subscription-based business model, the effect of the COVID-19 pandemic will not be fully reflected in our results of operations and overall financial performance until future periods. See the “Risk Factors” section of this Quarterly Report for further discussion of the possible impact of the COVID-19 pandemic on our business.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06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w w:val="94"/>
              </w:rPr>
              <w:t xml:space="preserve">38,438 </w:t>
            </w:r>
            <w:r>
              <w:rPr>
                <w:rFonts w:ascii="Arial" w:cs="Arial" w:eastAsia="Arial" w:hAnsi="Arial"/>
                <w:sz w:val="15"/>
                <w:szCs w:val="15"/>
                <w:color w:val="auto"/>
                <w:w w:val="94"/>
              </w:rPr>
              <w:t>(1)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7"/>
              </w:rPr>
              <w:t>10,690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7"/>
              </w:rPr>
              <w:t>49,128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9"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users from the Autolist website from January 16, 2020 (the date of the closing of our acquisition of Autolist) to March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tbl>
      <w:tblPr>
        <w:tblLayout w:type="fixed"/>
        <w:tblInd w:w="1700" w:type="dxa"/>
        <w:tblCellMar>
          <w:top w:w="0" w:type="dxa"/>
          <w:left w:w="0" w:type="dxa"/>
          <w:bottom w:w="0" w:type="dxa"/>
          <w:right w:w="0" w:type="dxa"/>
        </w:tblCellMar>
      </w:tblPr>
      <w:tr>
        <w:trPr>
          <w:trHeight w:val="147"/>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5"/>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66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060" w:type="dxa"/>
            <w:vAlign w:val="bottom"/>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gridSpan w:val="3"/>
          </w:tcPr>
          <w:p>
            <w:pPr>
              <w:jc w:val="center"/>
              <w:ind w:left="6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101,129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25,307</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6"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sessions from the Autolist website from January 16, 2020 (the date of the closing of our acquisition of Autolist) to March 31,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 paying dealer is a dealer, based on a distinct associated inventory feed, that subscribes to one of our paid Listings packages or Dealer Display advertising and audience targeting products at the end of a defined period. The number of paying dealers we have is important to us and we believe it provides valuable information to investors because it is indicative of the value proposition of our marketplace products, as well as our sales and marketing success, including our ability to retain paying dealers and develop new dealer relationships.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16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At 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06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27,883</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35,317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paying dealers from the Autolist website.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This information is important to us, and we believe it provides useful information to investors because we believe that our ability to grow AARSD is an indicator of the value proposition of our products and the return on investment, or ROI, our paying dealers realize from our products. In addition,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6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Average Annual Revenue per Subscribing Dealer (AARSD)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8"/>
              </w:rPr>
              <w:t>At March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18,393</w:t>
            </w:r>
          </w:p>
        </w:tc>
        <w:tc>
          <w:tcPr>
            <w:tcW w:w="3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7"/>
              </w:rPr>
              <w:t>(1)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15,440</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International</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5,222</w:t>
            </w:r>
          </w:p>
        </w:tc>
        <w:tc>
          <w:tcPr>
            <w:tcW w:w="36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16,051</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14,193</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1120" w:hanging="370"/>
        <w:spacing w:after="0" w:line="27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revenue and dealers from the Autolist website as it was acquired on January 16, 2020, and therefore, data for the trailing 12-month revenue calculation is not available.</w:t>
      </w:r>
    </w:p>
    <w:p>
      <w:pPr>
        <w:spacing w:after="0" w:line="1" w:lineRule="exact"/>
        <w:rPr>
          <w:rFonts w:ascii="Arial" w:cs="Arial" w:eastAsia="Arial" w:hAnsi="Arial"/>
          <w:sz w:val="18"/>
          <w:szCs w:val="18"/>
          <w:color w:val="auto"/>
        </w:rPr>
      </w:pPr>
    </w:p>
    <w:p>
      <w:pPr>
        <w:ind w:left="1120" w:right="20" w:hanging="370"/>
        <w:spacing w:after="0" w:line="27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revenue and dealers from the Italy website as it began earning marketplace subscription revenue in April 2019, and therefore, data for the trailing 12-month revenue calculation as of March 31, 2019 was not applicable.</w:t>
      </w:r>
    </w:p>
    <w:p>
      <w:pPr>
        <w:spacing w:after="0" w:line="1"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revenue and dealers from the PistonHeads website as it was acquired on January 8, 2019, and therefore, data for the trailing 12-month revenue calculation was not available.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10"/>
        <w:spacing w:after="0" w:line="221" w:lineRule="exact"/>
        <w:rPr>
          <w:sz w:val="20"/>
          <w:szCs w:val="20"/>
          <w:color w:val="auto"/>
        </w:rPr>
      </w:pPr>
      <w:r>
        <w:rPr>
          <w:rFonts w:ascii="Arial" w:cs="Arial" w:eastAsia="Arial" w:hAnsi="Arial"/>
          <w:sz w:val="16"/>
          <w:szCs w:val="16"/>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This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is not based on any standardized methodology prescribed by U.S. generally accepted accounting principles, or GAAP, and is not necessarily comparable to similarly titled measures presented by other companies.</w:t>
      </w:r>
    </w:p>
    <w:p>
      <w:pPr>
        <w:spacing w:after="0" w:line="204"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We define Adjusted EBITDA as net income,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acquisition-related expenses, other income, net, and the provision for (benefit from) income taxes. 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our business.</w:t>
      </w:r>
    </w:p>
    <w:p>
      <w:pPr>
        <w:spacing w:after="0" w:line="205"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8"/>
          <w:szCs w:val="18"/>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Arial" w:cs="Arial" w:eastAsia="Arial" w:hAnsi="Arial"/>
          <w:sz w:val="18"/>
          <w:szCs w:val="18"/>
          <w:color w:val="auto"/>
        </w:rPr>
        <w:t>making.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addition, we evaluate our Adjusted EBITDA in relation to our revenue. We refer to this as Adjusted EBITDA margin and define it as Adjusted EBITDA divided by total revenue.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6" w:lineRule="exact"/>
        <w:rPr>
          <w:sz w:val="20"/>
          <w:szCs w:val="20"/>
          <w:color w:val="auto"/>
        </w:rPr>
      </w:pPr>
    </w:p>
    <w:p>
      <w:pPr>
        <w:ind w:left="880" w:right="20" w:hanging="373"/>
        <w:spacing w:after="0" w:line="223"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4" w:lineRule="exact"/>
        <w:rPr>
          <w:rFonts w:ascii="Arial" w:cs="Arial" w:eastAsia="Arial" w:hAnsi="Arial"/>
          <w:sz w:val="18"/>
          <w:szCs w:val="18"/>
          <w:color w:val="auto"/>
        </w:rPr>
      </w:pPr>
    </w:p>
    <w:p>
      <w:pPr>
        <w:ind w:left="880" w:hanging="373"/>
        <w:spacing w:after="0" w:line="223"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4"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other income, net which primarily includes interest income earned on our cash, cash equivalents, and investments, sublease income and net foreign exchange gains and losses;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the provision for (benefit from) income taxes;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measure calculated in accordance with GAAP, for each of the periods presented.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2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12,696</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11,681</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(728)</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27,634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120" w:hanging="370"/>
        <w:spacing w:after="0" w:line="263"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color w:val="212529"/>
        </w:rPr>
        <w:t>December 2019, we revised our definition of Adjusted EBITDA to exclude the impact of acquisition-related expenses. This revised</w:t>
      </w:r>
      <w:r>
        <w:rPr>
          <w:rFonts w:ascii="Arial" w:cs="Arial" w:eastAsia="Arial" w:hAnsi="Arial"/>
          <w:sz w:val="18"/>
          <w:szCs w:val="18"/>
          <w:color w:val="auto"/>
        </w:rPr>
        <w:t xml:space="preserve"> </w:t>
      </w:r>
      <w:r>
        <w:rPr>
          <w:rFonts w:ascii="Arial" w:cs="Arial" w:eastAsia="Arial" w:hAnsi="Arial"/>
          <w:sz w:val="18"/>
          <w:szCs w:val="18"/>
          <w:color w:val="212529"/>
        </w:rPr>
        <w:t>definition more accurately reflects management’s view of our business and financial performance. Adjusted EBITDA for the three months ended March 31, 2019 has been restated for comparison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We derive revenue from two primary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offer multiple types of marketplace Listings packages to our dealers through our platform: Restricted Listings (formerly referred to as Basic Listings), which is free; and various levels of Listings packages, which each require a paid subscription under a monthly, quarterly, semiannual, or annual subscription basis.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During the first quarter of 2020, we temporarily suspended our Restricted Listings product on a limited basis and put certain non-paying dealers into a suspended activity program. In this temporary program, we continue to collect leads from consumers but do not provide these leads to non-paying dealers. This program includes formerly paying dealers who terminated their paid subscription with us due to the COVID-19 pandemic. We intend to forward leads collected under this suspended activity program to dealers once they restore their paid subscription or on an anonymized basis once we reinstate Restricted Listings, as the case may be.</w:t>
      </w:r>
    </w:p>
    <w:p>
      <w:pPr>
        <w:spacing w:after="0" w:line="18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subscriptions for customers generally auto-renew on a monthly basis and are cancellable by dealers with 30 days’ advance notice at the end of the committed term, although we did not require dealers to provide 30 days’ advance notice of termination for dealers who have canceled as a result of the COVID-19 pandemic. We also offer all dealers on our platform access to our Dealer Dashboard, which includes a performance summary, Dealer Insights tool, and user review management platform. Only dealers subscribing to a paid Listings package also have access to the Pricing Tool and Market Analysis tool. Subscription pricing is determined based on a dealer’s inventory size, region, and our assessment of the connections and ROI the platform will provide them and is subject to discounts that the Company may offer from time to time.</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to displaying inventory in our marketplace and providing access to the Dealer Dashboard, we offer dealers subscribing to one of our Enhanced, Featured, or Featured Priority Listings packages other subscription advertising and customer acquisition products, including Dealer Display, pursuant to which dealers can buy display advertising that appears in our marketplace, and on other sites on the internet, and for which such advertisements can be targeted by the user’s geography, search history, CarGurus website activity (including showing a user relevant vehicles from a dealer’s inventory that the user has not yet discovered on our marketplace), and a number of other targeting factors, allowing dealers to increase their visibility with in-market consumers and drive qualified traffic for dealers.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display products for the PistonHeads website.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Due to the impact of the COVID-19 pandemic, we expect a reduction in marketplace revenue in the near term as paying dealers cancel their subscriptions with us (including, with our permission, prior to the end of the applicable contract term and without the full notice period) and as we recognize the discounts provided to customers in April, May and June, which is a reduction in the overall transaction price and will be spread over the remaining contract term.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Advertising and other revenue also includes revenue from partnerships with certain financing services companies pursuant to which we enable eligible consumers on our United States website to pre-qualify for financing on cars from dealerships that offer financing through such companies. Our revenues from these financing partnerships are based on a funded-loan basis.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display products for the Autolist and PistonHeads websites.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to the impact of the COVID-19 pandemic, we expect a reduction in advertising revenue in the near term as some advertisers cancel or reduce their advertising with us (including, with our permission, prior to the end of the applicable contract term).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Cost of revenue primarily consists of costs related to supporting and hosting our product offerings. These costs include salaries, benefits, incentive compensation, and stock-based compensation for our customer support team and third-party service provider costs such as data center and networking expenses, allocated overhead costs, depreciation expense associated with our property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311" w:lineRule="auto"/>
        <w:rPr>
          <w:sz w:val="20"/>
          <w:szCs w:val="20"/>
          <w:color w:val="auto"/>
        </w:rPr>
      </w:pPr>
      <w:r>
        <w:rPr>
          <w:rFonts w:ascii="Arial" w:cs="Arial" w:eastAsia="Arial" w:hAnsi="Arial"/>
          <w:sz w:val="16"/>
          <w:szCs w:val="16"/>
          <w:color w:val="auto"/>
        </w:rPr>
        <w:t>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A portion of our commissions that are related to obtaining a new contract is capitalized and amortized over the estimated benefit period of customer relationships. All other sales and marketing costs are expensed as incurred. We expect sales and marketing expenses to fluctuate from quarter to quarter as we respond to the COVID-19 pandemic and any resulting changes in the competitive landscape and attempt to restore our consumer audience and our brand awareness, which will impact our quarterly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Despite our implementation of several cost saving initiatives associated with the COVID-19 pandemic, we expect product, technology, and development expenses to increase as we develop new solutions and make improvements to our existing platform.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General and administrative expenses consist primarily of personnel and related expenses for our executive, finance, legal, human resources,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General and administrative costs are expensed as incurred. In connection with our implementation of several cost saving initiatives associated with the COVID-19 pandemic, we expect to reduce our general and administrative expenses in the near term. Nevertheless, we generally expect general and administrative expenses to increase as we grow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sublease income and net foreign exchange gains and losses.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recognized a provision for income taxes for the three months ended March 31, 2020 and a benefit from income taxes for the three months ended March 31, 2019.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 against our net deferred tax assets as of March 31, 2020 and December 31, 2019 was immaterial.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4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2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141,866</w:t>
            </w:r>
          </w:p>
        </w:tc>
        <w:tc>
          <w:tcPr>
            <w:tcW w:w="2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120,843</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15,823</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 revenue</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157,689</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135,270</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11,610</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Gross profit</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146,079</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127,550</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93,595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91,316</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15,860</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134,060</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120,115</w:t>
            </w: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Other income, net:</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 net</w:t>
            </w:r>
          </w:p>
        </w:tc>
        <w:tc>
          <w:tcPr>
            <w:tcW w:w="1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(3,503)</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jc w:val="center"/>
        <w:ind w:left="67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3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5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148,006</w:t>
            </w:r>
          </w:p>
        </w:tc>
        <w:tc>
          <w:tcPr>
            <w:tcW w:w="3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128,403</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3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w:t>
            </w:r>
          </w:p>
        </w:tc>
        <w:tc>
          <w:tcPr>
            <w:tcW w:w="3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157,689</w:t>
            </w:r>
          </w:p>
        </w:tc>
        <w:tc>
          <w:tcPr>
            <w:tcW w:w="3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135,270</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3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5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w:t>
            </w:r>
          </w:p>
        </w:tc>
        <w:tc>
          <w:tcPr>
            <w:tcW w:w="3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17,381</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International</w:t>
            </w:r>
          </w:p>
        </w:tc>
        <w:tc>
          <w:tcPr>
            <w:tcW w:w="3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(8,243)</w:t>
            </w:r>
          </w:p>
        </w:tc>
        <w:tc>
          <w:tcPr>
            <w:tcW w:w="5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(9,946)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80" w:type="dxa"/>
            <w:vAlign w:val="bottom"/>
            <w:vMerge w:val="restart"/>
          </w:tcPr>
          <w:p>
            <w:pPr>
              <w:jc w:val="right"/>
              <w:ind w:right="163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ectPr>
          <w:pgSz w:w="11900" w:h="16838" w:orient="portrait"/>
          <w:cols w:equalWidth="0" w:num="1">
            <w:col w:w="11240"/>
          </w:cols>
          <w:pgMar w:left="320" w:top="341" w:right="339" w:bottom="1440" w:gutter="0" w:footer="0" w:header="0"/>
        </w:sectPr>
      </w:pPr>
    </w:p>
    <w:p>
      <w:pPr>
        <w:spacing w:after="0" w:line="253"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68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Marketplace subscription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Total revenue</w:t>
            </w:r>
          </w:p>
        </w:tc>
        <w:tc>
          <w:tcPr>
            <w:tcW w:w="8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Other income, net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8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International</w:t>
            </w:r>
          </w:p>
        </w:tc>
        <w:tc>
          <w:tcPr>
            <w:tcW w:w="8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Borders>
              <w:top w:val="single" w:sz="8" w:color="CFF0FC"/>
              <w:bottom w:val="single" w:sz="8" w:color="CFF0FC"/>
            </w:tcBorders>
            <w:vMerge w:val="restart"/>
          </w:tcPr>
          <w:p>
            <w:pPr>
              <w:ind w:left="4960"/>
              <w:spacing w:after="0"/>
              <w:rPr>
                <w:sz w:val="20"/>
                <w:szCs w:val="20"/>
                <w:color w:val="auto"/>
              </w:rPr>
            </w:pPr>
            <w:r>
              <w:rPr>
                <w:rFonts w:ascii="Arial" w:cs="Arial" w:eastAsia="Arial" w:hAnsi="Arial"/>
                <w:sz w:val="18"/>
                <w:szCs w:val="18"/>
                <w:color w:val="auto"/>
              </w:rPr>
              <w:t>27</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For the three months ended March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7"/>
          </w:tcPr>
          <w:p>
            <w:pPr>
              <w:ind w:lef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141,866</w:t>
            </w:r>
          </w:p>
        </w:tc>
        <w:tc>
          <w:tcPr>
            <w:tcW w:w="2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120,843</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157,689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135,270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22,419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Overall revenue increased by $22.4 million, or 17%, in the three months ended March 31, 2020 compared to the three months ended March 31, 2019. Marketplace subscription revenue increased by 17%, while advertising and other revenue grew by 10%.</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Marketplace subscription revenue increased by $21.0 million in the three months ended March 31, 2020 compared to the three months ended March 31, 2019 and represented 90% of total revenue for the three months ended March 31, 2020 and 89% of revenue for the three months ended March 31, 2019. This increase in marketplace subscription revenue was attributable primarily to a 19% growth in our AARSD for United States dealers to $18,393 at March 31, 2020 from $15,440 at March 31, 2019 and to a 6% growth in the number of total paying dealers to 35,317 at March 31, 2020 from 33,235 at March 31, 2019. The increase in our AARSD for United States dealers was driven by new products, unit pricing and packaging as well as the investments made in building our brand and growing our audience, which resulted in growth in volume of connections. The increase in paying dealers was driven by the efforts of our sales and marketing teams to subscribe dealers to our Listings packages.</w:t>
      </w:r>
    </w:p>
    <w:p>
      <w:pPr>
        <w:spacing w:after="0" w:line="17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Advertising and other revenue increased by $1.4 million in the three months ended March 31, 2020 compared to the three months ended March 31, 2019 and represented 10% of total revenue for the three months ended March 31, 2020 and 11% of the total revenue for the three months ended March 31, 2019. The increase in advertising and other revenue was primarily due to $1.1 million of revenue from Autolist.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148,006</w:t>
            </w:r>
          </w:p>
        </w:tc>
        <w:tc>
          <w:tcPr>
            <w:tcW w:w="2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128,403</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9"/>
              </w:rPr>
              <w:t>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157,689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135,270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22,419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United States revenue increased $19.6 million, or 15%, in the three months ended March 31, 2020 compared to the three months ended March 31, 2019, due primarily to a 19% increase in AARSD for United States dealers. The increase in United States revenue was also attributable to revenue from Autolist, partially offset by future concessions announced on March 18, 2020 due to COVID-19.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jc w:val="both"/>
        <w:ind w:firstLine="510"/>
        <w:spacing w:after="0" w:line="308" w:lineRule="auto"/>
        <w:rPr>
          <w:sz w:val="20"/>
          <w:szCs w:val="20"/>
          <w:color w:val="auto"/>
        </w:rPr>
      </w:pPr>
      <w:r>
        <w:rPr>
          <w:rFonts w:ascii="Arial" w:cs="Arial" w:eastAsia="Arial" w:hAnsi="Arial"/>
          <w:sz w:val="17"/>
          <w:szCs w:val="17"/>
          <w:color w:val="auto"/>
        </w:rPr>
        <w:t>International revenue increased $2.8 million, or 41%, in the three months ended March 31, 2020 compared to the three months ended March 31, 2019, due primarily to a 44% increase in the number of International paying dealers and a 7% increase in AARSD for International dealers.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11,610</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3,890</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Cost of revenue increased $3.9 million, or 50%, in the three months ended March 31, 2020 compared to the three months ended March 31, 2019. The increase was due primarily to a $1.8 million increase in fees related to provisioning advertising campaigns on our websites, a $0.7 million increase in amortization primarily due to amortization of website development costs, a $0.6 million increase in data center and hosting costs and a $0.3 million increase in depreciation.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93,595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91,316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2,279</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Sales and marketing expenses increased $2.3 million, or 2%, in the three months ended March 31, 2020 compared to the three months ended March 31, 2019. This increase was due primarily to an increase of $1.2 million in salaries and employee-related costs, exclusive of stock-based compensation expense and commissions expense, which increased $0.4 million and $0.2 million, respectively. The increase in salaries and employee-related costs, stock-based compensation expense and commissions expense was due primarily to a 15% increase in headcount. The increase for the three months ended March 31, 2020 was also due to an increase in software subscriptions costs of $0.6 million and was offset in part by decreases in marketing event costs of $0.3 million. The increase for the three months ended March 31, 2020 was also partially attributable to sales and marketing expenses associated with the integration and marketing of Autolist of $0.6 million.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23,084</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7,112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Product, technology, and development expenses increased $7.1 million, or 45%, in the three months ended March 31, 2020 compared to the three months ended March 31, 2019. The increase was due primarily to a $3.7 million increase in salaries and employee-related costs, exclusive of stock-based compensation expense, which increased $2.2 million. The increase in salaries and employee-related costs and stock-based compensation expense was due primarily to a 42% increase in headcount to support our growth and product innovations. The increase in product, technology, and development expenses for the three months ended March 31, 2020 was also due in part to a $0.5 million increase in allocated lease costs due to new office space at 55 Cambridge Parkway, in Cambridge, Massachusetts and a $0.4 million increase in software subscriptions. The increase for the three months ended March 31, 2020 was also partially attributable to product, technology, and development expenses associated with the integration and development of Autolist technology of $1.6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15,860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4,100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General and administrative expenses increased $4.1 million, or 35%, in the three months ended March 31, 2020 compared to the three months ended March 31, 2019. The increase was due primarily a $0.8 million increase in salaries and employee-related costs, exclusive of stock-based compensation expense, which increased $1.4 million. The increase in salaries and employee-related costs and stock-based compensation expense was due primarily to a 27% increase in headcount to support our expanded operations. The increase for the three months ended March 31, 2020 was also due in part to a $1.2 million increase in bad debt expense as a result of increasing our allowance for doubtful accounts for the COVID-19 pandemic and a $0.5 million increase in payment processing and billing costs due to increased customer transactions driven by revenue growth.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1,521</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454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Depreciation and amortization expenses increased $0.5 million, or 43%, in the three months ended March 31, 2020 compared to the three months ended March 31, 2019, due primarily to an increase in depreciation related to the additional leasehold improvements associated with additional office space leased at 55 Cambridge Parkway in Cambridge, Massachusetts as well as amortization of intangible assets primarily related to Autolist.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Interest income</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562</w:t>
            </w:r>
          </w:p>
        </w:tc>
        <w:tc>
          <w:tcPr>
            <w:tcW w:w="4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(736)</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other income, net</w:t>
            </w:r>
          </w:p>
        </w:tc>
        <w:tc>
          <w:tcPr>
            <w:tcW w:w="14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6"/>
              </w:rPr>
              <w:t>(918)</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Total other income, net decreased $0.9 million, or 56%, in the three months ended March 31, 2020 compared to the three months ended March 31, 2019. The $0.7 million decrease in other income, net was primarily due to a $0.9 million decrease in unrealized gain. In the three months ended March 31, 2019 the Company had an unrealized gain associated with an intercompany receivable related to the acquisition of PistonHeads.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(3,503)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3,554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provision for income taxes recorded during the three months ended March 31, 2020, as compared to the benefit from income taxes recorded during the three months ended March 31, 2019 was principally due to $1.2 million of tax benefit related to excess stock-based compensation deductions recorded during the three months ended March 31, 2020, compared to $5.2 million recorded during the three months ended March 31, 2019, as well as a decrease in federal and state research and development tax credits as compared to the three months ended March 31, 2019 as a result of the decreased compensation included in research and development wages, partially offset due to the benefit of the CARES Act.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89"/>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1912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6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United States income from operations increased $2.9 million or 17%, in the three months ended March 31, 2020 compared to the three months ended March 31, 2019. This increase was due to an increase in revenue of $19.6 million, offset by increases in operating expenses of $12.9 million and cost of revenue of $3.8 million, in part due to revenue and costs associated with Autolist.</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International loss from operations decreased $1.7 million, or 17%, in the three months ended March 31, 2020 compared to the three months ended March 31, 2019. The decrease in International loss from operations reflects our continued investment into international markets resulting in increased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March 31, 2020 and December 31, 2019, our principal sources of liquidity were cash and cash equivalents of $74.5 million and $59.9 million, respectively, and investments in certificates of deposit with terms of greater than 90 days but less than one year of $81.3 million and $111.7 million at March 31, 2020 and December 31, 2019,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jc w:val="center"/>
        <w:ind w:left="5220"/>
        <w:spacing w:after="0" w:line="233" w:lineRule="auto"/>
        <w:rPr>
          <w:sz w:val="20"/>
          <w:szCs w:val="20"/>
          <w:color w:val="auto"/>
        </w:rPr>
      </w:pPr>
      <w:r>
        <w:rPr>
          <w:rFonts w:ascii="Arial" w:cs="Arial" w:eastAsia="Arial" w:hAnsi="Arial"/>
          <w:sz w:val="14"/>
          <w:szCs w:val="14"/>
          <w:b w:val="1"/>
          <w:bCs w:val="1"/>
          <w:color w:val="auto"/>
        </w:rPr>
        <w:t>Three Months Ended</w:t>
      </w:r>
    </w:p>
    <w:p>
      <w:pPr>
        <w:jc w:val="center"/>
        <w:ind w:left="5220"/>
        <w:spacing w:after="0" w:line="23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3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9,685</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(11,350)</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(2,892)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(3,263)</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operations have been financed primarily from operating activities and our initial public offering. We generated cash from operating activities of $10.1 million during the three months ended March 31, 2020, and $9.7 million during the three months ended March 31, 2019.</w:t>
      </w:r>
    </w:p>
    <w:p>
      <w:pPr>
        <w:spacing w:after="0" w:line="17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believe that our existing sources of liquidity will be sufficient to fund our operations for at least the next 12 months from the date of the filing of this Quarterly Report, but we do expect to use more cash in the near term as we deal with the challenges of the COVID-19 pandemic. As such, we are implementing plans to reduce cash spend including, but not limited to, initiating a reduction in our workforce, ceasing operation of certain international marketplaces and halting expansion efforts in any new international markets, and implementing targeted reductions in sales and marketing expenses, including across both algorithmic traffic acquisition and brand spend, discretionary operating expenses and capital expenditures, including those announced on April 16, 2020. Our future capital requirements will depend on many factors, including the impact of the COVID-19 pandemic, our revenue, costs associated with our sales and marketing activities and the support of our product, technology, and development efforts, our investments in international markets, and the timing and extent of our cost savings related to our expense reduction efforts. Cash from operations could also be affected by various risks and uncertainties, including, but not limited to, the effects of the COVID-19 pandemic and other risks detailed in the “Risk Factors” section of this Quarterly Report.</w:t>
      </w:r>
    </w:p>
    <w:p>
      <w:pPr>
        <w:spacing w:after="0" w:line="19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 including due to increased volatility in the capital markets attributable to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Cash provided by operating activities of $10.1 million during the three months ended March 31, 2020 was due primarily to net income of $12.7 million, adjusted for $11.6 million of stock-based compensation expense for equity classified awards, $5.5 million of deferred taxes, $3.0 million of depreciation and amortization, $2.8 million of amortization of deferred contract costs and $1.2 million of provision for doubtful accounts. Cash provided by operating activities was also attributable to a $5.4 million decrease in accounts receivable. The increases in cash flow from operations were partially offset by an $11.0 million increase in prepaid expenses, prepaid income taxes, and other assets, a $7.4 million decrease in accounts payable, a $4.9 million decrease in deferred revenue, a $4.4 million decrease in accrued expenses, accrued income taxes, and other current liabilities, a $3.3 million increase in deferred contract costs, and a $0.7 million decrease in lease obligations.</w:t>
      </w:r>
    </w:p>
    <w:p>
      <w:pPr>
        <w:spacing w:after="0" w:line="19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Cash provided by operating activities during the three months ended March 31, 2019 was $9.7 million, due primarily to net income of $12.6 million, adjusted for $7.7 million of stock-based compensation expense, $1.8 million of amortization of deferred contract costs and $1.6 million of depreciation and amortization, partially offset by $3.7 million of deferred taxes. Cash provided by operating activities was also attributable to a $3.2 million increase in accounts payable, partially offset by a $4.4 million increase in deferred contract costs, a $4.0 million decrease in accrued expenses, accrued income taxes, and other current liabilities, a $1.7 increase in prepaid expenses, prepaid income taxes, and other assets, a $1.5 million increase in accounts receivable and a $1.4 million decrease in lease obligations.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provided by investing activities of $7.5 million during the three months ended March 31, 2020 was due to maturities of certificates of deposit of $30.4 million, offset in part by $21.0 million of cash paid for acquisitions, $1.2 million of purchases of property and equipment and $0.7 million related to the capitalization of website development costs.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investing activities of $11.4 million during the three months ended March 31, 2019 was due to $25.7 million of investments in certificates of deposit, net of maturities of certificates of deposit of $40.0 million, $19.1 million of acquisition cash payments, $5.7 million of purchases of property and equipment and $0.8 million related to the capitalization of website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$2.9 million during the three months ended March 31, 2020 was due primarily to the payment of withholding taxes on net share settlements of restricted stock units of $3.4 million, partially offset by $0.5 million related to the proceeds from the issuance of common stock related to the exercise of vested stock options.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$3.3 million during the three months ended March 31, 2019 was due primarily to the payment of withholding taxes on net share settlements of equity awards of $4.0 million, partially offset by $0.7 million related to the proceeds from the issuance of common stock related to the exercise of vested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2020, there were no material changes in our contractual obligations and commitments from those disclosed in our 2019 Annual Report, other than those appearing in the notes to the Unaudited Condensed Consolidated Financial Statements appearing elsewhere in this Quarterly Report, which are hereby incorporated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2020 and December 31, 2019, we did not have any off-balance sheet arrangements, other than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We evaluate our estimates and assumptions on an ongoing basis. Our actual results may differ from these estimates.</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accounting estimates that require the most difficult and subjective judgments include revenue recognition, allowance for doubtful accounts and sales allowances, variable consideration, the recoverability of long-lived assets, the valuation and recoverability of goodwill and intangible assets, the expensing and capitalization of product, technology, and development costs for website development and internal-use software, and the recoverability of our net deferred tax assets and related valuation allowance. Accordingly, these are the policies we believe are the most critical to aid in fully understanding and evaluating our Unaudited Condensed Consolidated Financial Statements.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For a detailed explanation of the judgments made in these areas, refer to “Management’s Discussion and Analysis of Financial Condition and Results of Operations” in our 2019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300" w:firstLine="46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March 31, 2020 or at December 31, 2019.</w:t>
      </w:r>
    </w:p>
    <w:p>
      <w:pPr>
        <w:spacing w:after="0" w:line="225"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color w:val="auto"/>
        </w:rPr>
        <w:t>We had cash, cash equivalents, and investments of $155.7 million and $171.6 million at March 31, 2020 and December 31, 2019, respectively, which consist of bank deposits, money market funds, and certificates of deposit with maturity dates ranging from six to nine months. Such interest-earning instruments carry a degree of interest rate risk. Given recent changes in the interest rate environment and in an effort to ensure liquidity, the Company expects lower returns from its investments for the foreseeable future. To date, fluctuations in interest income have not been material to the operations of the business.</w:t>
      </w:r>
    </w:p>
    <w:p>
      <w:pPr>
        <w:spacing w:after="0" w:line="18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March 31, 2020 and December 31, 2019, we had foreign currency exposures in the British pound, the Euro and the Canadian dollar, although such exposure is not significant.</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 Long-term intercompany accounts are recorded at their historical rates.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have been and will continue to be adversely affected by the recent novel coronavirus disease 2019, or COVID-19, outbreak.</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December 2019, a novel strain of coronavirus, now referred to as COVID-19, surfaced in Wuhan, China. The virus has been declared a pandemic by the World Health Organization and has spread to over 100 countries, including the United States, Canada and the United Kingdom. This pandemic has had a significant impact in the parts of the world where it has caused health crises and will likely continue to severely affect many aspects of society in these and other areas, and has resulted in and will likely continue to result in significant disruptions to the global economy as well as businesses and capital markets around the world.</w:t>
      </w:r>
    </w:p>
    <w:p>
      <w:pPr>
        <w:spacing w:after="0" w:line="8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operations have already been materially adversely affected by a range of factors related to the COVID-19 pandemic. For example, in an effort to limit the spread of COVID-19, several countries, including the United States, have placed significant restrictions on travel and commerce and many businesses have announced extended closures. In March, we closed all of our offices (including our corporate headquarters) in the United States, Ireland and United Kingdom and began requiring our employees to work remotely, which has disrupted how we operate our business. A number of states and other governments have issued shelter in place or stay-at-home orders and have restricted the ability to buy and sell automobiles by excluding dealerships from the list of essential businesses and/or by closing the agencies that process the transfer of automotive titles. In addition, as a result of these restrictions and concerns about the spread of the disease, consumers have demonstrated significantly less interest in car shopping and the operations of car dealerships have been disrupted, which has adversely affected the market for automobile purchases. As a result of the travel and commerce restrictions and the impact on their businesses, a number of our paying dealers have temporarily closed, plan to temporarily close or are operating on a reduced capacity, and many dealerships are facing significant financial challenges. Such closures and circumstances have led some paying dealers to cancel their subscriptions and/or reduce their advertising spend with us, which has had and will continue to have a material adverse effect on our business, financial condition and results of operations. Additionally, in response to the increasing cancelations and the drop in consumer demand, we reduced our spending on brand advertising and traffic acquisition, which has resulted in fewer consumers using our platform, which in turn has and will continue to materially and adversely affect our business, financial condition and results of operations. Our business relies on the ability of consumers to borrow funds to acquire automobiles and we expect that banks and other financing companies may limit or restrict lending to consumers, which will materially and adversely affect our business.</w:t>
      </w:r>
    </w:p>
    <w:p>
      <w:pPr>
        <w:spacing w:after="0" w:line="59"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Further, because of the significant financial challenges that dealerships are facing as a result of the COVID-19 pandemic, we have taken measures to help our paying dealers maintain their business health during the COVID-19 pandemic. We proactively reduced the subscription fees for paying dealers by at least 50% on all marketplace subscriptions for the April and May 2020 service periods, as well as provided a 20% fee reduction on all June 2020 marketplace subscriptions for paying dealers in the United States and Canada and a 50% fee reduction on all June 2020 marketplace subscriptions for paying dealers in the United Kingdom. As a result, the level of fees we receive from paying dealers has decreased and will continue to be materially reduced during this period, resulting in a material adverse effect to our business, financial condition and results of operations. In addition, despite our proactive discounting, we have experienced, and expect to continue to experience, increased customer cancellation rates and slowed paying dealer additions, which will also materially and adversely affect our business, financial condition and results of operations. We also expect to experience an increase in account delinquencies from dealer customers challenged by the COVID-19 pandemic that fail to pay us on time or at all.</w:t>
      </w:r>
    </w:p>
    <w:p>
      <w:pPr>
        <w:spacing w:after="0" w:line="5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These effects from the COVID-19 pandemic on our revenue and cash flows already have caused us to implement certain cost-savings measures across our business, which have disrupted, and may continue to disrupt, our business and operations. For example,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we initiated a reduction in our workforce of approximately 13%, paused hiring for the foreseeable future, and limited discretionary spend across our business, including by eliminating, reducing or pausing certain vendor relationships. We have also reduced consumer marketing spend across both algorithmic traffic acquisition and brand as a result of suppressed consumer demand in the automotive industry. Despite these measures, we may not achieve the costs savings at the levels we expect and may be required to make additional cash expenditures, which would adversely impact our cash flows and financial condition. If our cash flows continue to decrease as a result of the effects from the COVID-19 pandemic, we may also decide that additional disruptive measures are necessary to reduce our operating expenses.</w:t>
      </w:r>
    </w:p>
    <w:p>
      <w:pPr>
        <w:spacing w:after="0" w:line="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global nature of the COVID-19 pandemic has also had a significant impact on our international businesses. The crisis has halted our growth in existing markets and our expansion into additional markets. In particular, we are ceasing marketplace operations in Germany, Italy, and Spain, as well as ceasing any new international expansion efforts, which we believe will allow us to focus our financial and human capital resources on our more established international markets in Canada and the United Kingdom. Failure by us to succeed in these two marketplaces, however, would materially and adversely affect our business and potential growth.</w:t>
      </w:r>
    </w:p>
    <w:p>
      <w:pPr>
        <w:spacing w:after="0" w:line="8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are continuing to monitor and assess the effects of the COVID-19 pandemic on our commercial operations, including the impact on our revenue in 2020. However, we cannot at this time accurately predict what effects these conditions will ultimately have on our operations due to uncertainties relating to the ultimate geographic spread of the virus, the severity of the disease, the duration of the pandemic, and the length of the travel and commerce restrictions imposed on federal and state levels, as well as by the governments of impacted countries. Nor can we predict the adverse impact on the global economies and financial markets in which we operate, which will have a significant negative impact on our business, financial condition and results of operations.</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have been working to transition many of these dealers to contracts with one-year committed terms (which effort has been slowed since the COVID-19 pandemic), the majority of our contracts with dealers currently provide for one-month committed terms. The contracts do not contain contractual obligations requiring a dealer to maintain its relationship with us beyond the committed term. Accordingly, these dealers may cancel their subscriptions with us in accordance with the terms of their subscription agreements. As a result of the COVID-19 pandemic, many paying dealers cancelled their subscriptions with us (including, with our permission, prior to the end of the applicable contract term and notice period), which will cause a material adverse impact on our revenues, and we expect more paying dealers to cancel their subscriptions (including early terminations permitted by us) as a result of the COVID-19 pandemic. If a significant number of our paying dealers terminate their subscriptions with us, our business and financial results would be materially and adversely affected.</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If paying dealers do not experience the volume of consumer connections that they expect during their subscription period, or do not experience the level of car sales they expect from those connections, they may terminate their subscriptions at the conclusion of the committed term or may only be willing to renew their subscriptions at a lower level of fees. We have experienced and expect to continue to experience a decline in the volume of consumer connections as a result of our reductions in marketing expense in light of the COVID-19 pandemic and as a result of a decrease in consumer shopping in light of the COVID-19 pandemic. Also, as a result of the COVID-19 pandemic many paying dealers cancelled their subscriptions with us, which will cause a material adverse impact on our revenues, and we expect more paying dealers to cancel their subscriptions as a result of the COVID-19 pandemic. Even if dealers do experience increased consumer connections or sales, they may not attribute such increases to our platform. If we fail to maintain or expand our base of paying dealers or fail to maintain or increase the level of fees that we receive from them, our business and financial results would be materially and adversely affected.</w:t>
      </w:r>
    </w:p>
    <w:p>
      <w:pPr>
        <w:spacing w:after="0" w:line="18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allow dealers to list their inventory in the CarGurus marketplace for free; however, we impose certain limitations on such free listings, such as excluding dealer identity and contact information, and these dealers do not receive access to the paid features of our marketplace. As a result of the COVID-19 pandemic, we temporarily suspended our free listings product, Restricted Listings, on a limited basis and put certain non-paying dealers into a suspended activity program. In this temporary program, we continue to collect leads from consumers but do not provide these leads to non-paying dealers. This program includes formerly paying dealers who terminated their paid subscription with us due to the COVID-19 pandemic. We intend to forward leads collected under this suspended activity program to dealers once they restore their paid subscription or on an anonymized basis once we reinstate Restricted Listings, as the case may be. In the future, including due to the impact of the COVID-19 pandemic, we may decide to impose additional restrictions on free listings. If dealers do not subscribe to our paid offerings at the rates we expect, or if a greater than expected number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of paying dealers elect to terminate their subscriptions or reduce their fees, our business and financial results would be materially and adversely affected.</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dealers or other advertisers reduce their advertising spending with us and we are unable to attract new advertisers, our business would be harmed.</w:t>
      </w:r>
    </w:p>
    <w:p>
      <w:pPr>
        <w:spacing w:after="0" w:line="1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As a result of the COVID-19 pandemic, many paying dealers cancelled their subscriptions with us (including, with our permission, prior to the end of the applicable contract term and notice period), which will cause a material adverse impact on our revenues, and we expect more paying dealers to cancel their subscriptions (including early terminations permitted by us) or decrease their advertising with us as a result of the COVID-19 pandemic. Our other advertising contracts, including those with auto manufacturers, are typically for a defined period of time and do not have ongoing commitments to advertise in our marketplace beyond the committed term. As a result of the COVID-19 pandemic, some advertisers have cancelled or reduced their advertising with us, which will cause a material adverse impact on our revenues, and we expect more advertising customers to cancel or reduce their advertising as a result of the COVID-19 pandemic. In addition, we expect to have fewer consumer visits to our sites as a result of the COVID-19 pandemic which results in the delivery of fewer impressions for our advertising customers, which we expect to have an adverse impact on our advertising revenues.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8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If we fail to continue to provide a compelling vehicle search experience to consumers, the number of connections between consumers and dealers through our marketplace could decline, which in turn could lead dealers to pause listing their inventory in our marketplace, cancel their subscriptions, or reduce their advertising spend with us. If dealers pause or cancel listing their inventory in our marketplace, we may not be able to maintain and grow our consumer traffic, which may cause other dealers to pause or cancel their use of our marketplace. This reduction in the number of dealers using our marketplace would likely materially and adversely affect our marketplace and our business and financial results. As consumers increasingly use their mobile devices to access the internet and our marketplace, our success depends,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70"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display a wide variety of automobile inventory to attract more consumers to our websites;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applications with operating systems, such as iOS and Android, and with popular mobile devices running such operating systems;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880" w:right="2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21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 COVID-19 pandemic, dealers may remove their inventory from our websites, which could attract fewer consumers to our websites. If fewer consumers visit our websites, our business and operating results would be harmed.</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or if our competitors’ internet search engine optimization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and our ability to engage in these activities may decline as a result of the impact of the COVID-19 pandemic on our business.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negatively impact our business and financial 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 could be negatively affected if any current provider terminates its relationship with us or our service from any provider is interrupted, whether as a result of the COVID-19 pandemic or otherwise. If there is a material disruption in the data provided to us, the information that we provide to consumers and dealers using our marketplace may be limited. In addition, the quality, accuracy, and timeliness of this information may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suffer, which may lead to a less valuable and less transparent shopping experience for consumers using our marketplace and could negatively affect our business and operating results.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 would harm our ability to grow our audience and to expand the use of our marketplace by consumers and dealers.</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Our ability to protect our brand is also impacted by the success of our efforts to optimize our significant brand spend and overcome the intense competition in brand marketing across our industry, including competitors that may imitate our messaging in response to our success. In addition, as a result of the COVID-19 pandemic, we have reduced our brand spend and expect to continue to maintain lower brand spend for some period of time. If consumers were to believe that we are not focused on providing them with a better automobile shopping experience, or if we fail to overcome brand marketing competition and maintain a differentiated value proposition in consumers’ minds, our reputation and the strength of our brand may be adversely affected.</w:t>
      </w:r>
    </w:p>
    <w:p>
      <w:pPr>
        <w:spacing w:after="0" w:line="16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Portions of our platform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9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b w:val="1"/>
          <w:bCs w:val="1"/>
          <w:i w:val="1"/>
          <w:iCs w:val="1"/>
          <w:color w:val="auto"/>
        </w:rPr>
        <w:t>Our recent growth is not indicative of our future growth, and our ability to grow our revenue in the future is uncertain due to the impact of the COVID-19 pandemic.</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revenue increased to $588.9 million for the year ended December 31, 2019 from $454.1 million for the year ended December 31, 2018, representing a 30% increase between such periods, and increased to $157.7 million for the three months ended March 31, 2020 from $135.3 million for the three months ended March 31, 2019, representing a 17% increase between such periods. We expect a year-over-year decline in revenues in 2020 due to COVID-19-related effects. Our future revenue is uncertain due to the continued impact of the COVID-19 pandemic. If our revenue declines or fails to grow, investors’ perceptions of our business may be adversely affected and the market price of our Class A common stock could decline. In addition, we will not be able to grow as expected, or at all, if we do not accomplish the following:</w:t>
      </w:r>
    </w:p>
    <w:p>
      <w:pPr>
        <w:spacing w:after="0" w:line="84"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marketplaces and maintain and increase the fees that they are paying;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the number of connections between consumers and dealers using our marketplace and connections to paying dealers, in particular.</w:t>
      </w:r>
    </w:p>
    <w:p>
      <w:pPr>
        <w:spacing w:after="0" w:line="200" w:lineRule="exact"/>
        <w:rPr>
          <w:sz w:val="20"/>
          <w:szCs w:val="20"/>
          <w:color w:val="auto"/>
        </w:rPr>
      </w:pPr>
    </w:p>
    <w:p>
      <w:pPr>
        <w:spacing w:after="0" w:line="26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expense reduction efforts in response to the COVID-19 pandemic may not be successful and may have unintended consequences.</w:t>
      </w:r>
    </w:p>
    <w:p>
      <w:pPr>
        <w:spacing w:after="0" w:line="140"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6"/>
          <w:szCs w:val="16"/>
          <w:color w:val="auto"/>
        </w:rPr>
        <w:t>On April 13, 2020, our board of directors approved an expense reduction plan to address the impact of the COVID-19 pandemic on our business, pursuant to which we initiated a reduction in our workforce of approximately 13%, paused hiring for the foreseeable future, limited discretionary spend across our business, reduced consumer marketing spend across both algorithmic traffic acquisition and brand, ceased operation of our Germany, Italy and Spain marketplaces, and halted expansion efforts in any new international markets. These expense reduction activities, and any future cost savings actions that we may take, may yield unintended consequences and costs, such as loss of key employees, attrition beyond our intended reduction in force, diversion of management’s attention from normal daily operations of the business, a decrease in cash available for future cash expenditures in connection with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reduction in force, and the risk that we may not achieve the anticipated cost savings at the levels we expect, any of which may have a material adverse effect on our results of operations or financial condition.</w:t>
      </w:r>
    </w:p>
    <w:p>
      <w:pPr>
        <w:spacing w:after="0" w:line="2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cash flows have been significantly and adversely impacted by the COVID-19 pandemic, and the effects of the COVID-19 pandemic may further impact our profitability and/or ability to generate positive cash flows in the future. If we are unable to generate sufficient cash flows, we would require additional capital to pursue our business objectives and respond to business opportunities, challenges, or unforeseen circumstances, including the effects of the COVID-19 pandemic, as well as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w:t>
      </w:r>
    </w:p>
    <w:p>
      <w:pPr>
        <w:spacing w:after="0" w:line="19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grow effectively in our existing domestic and international markets our revenue, business, and financial results will be harmed.</w:t>
      </w:r>
    </w:p>
    <w:p>
      <w:pPr>
        <w:spacing w:after="0" w:line="129"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While we are ceasing operations of our marketplaces in Germany, Italy and Spain and stopping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as we have in the past, to incur significant losses in the United Kingdom and Canada and face various other challenges, such as obtaining and maintaining access to data, competition for consumers and dealers using our products, new and different competitors, monetizing dealers and other customers, other regulatory environments and laws, different consumer behavior than we are familiar with, and our ability to maintain the number of our account managers to cover those markets. Our operation of several marketplaces requires significant resources and management attention. Furthermore, operations in international markets may not yield results similar to those we have achieved in the United States.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involve risks that are different from, or in addition to, the risks we may experience as a result of our domestic operations.</w:t>
      </w:r>
    </w:p>
    <w:p>
      <w:pPr>
        <w:spacing w:after="0" w:line="15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 Dealers may also be parties to agreements with other dealers and syndicates that prevent them from being able to access our marketplace. Any of these barriers could impede our operations in international markets, which could affect our business and potential growth.</w:t>
      </w:r>
    </w:p>
    <w:p>
      <w:pPr>
        <w:spacing w:after="0" w:line="80"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addition to English, we have made portions of our platform available in French and Spanish (as well as German and Italian while such websites remain in operation). We may have difficulty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managing and retaining qualified multilingual employees, including sales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adapting our websites and mobile applications to conform to local consumer behavior;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competition from local websites and mobile applications and potential preferences by local populations for local providers;</w:t>
      </w:r>
    </w:p>
    <w:p>
      <w:pPr>
        <w:spacing w:after="0" w:line="128" w:lineRule="exact"/>
        <w:rPr>
          <w:rFonts w:ascii="Arial" w:cs="Arial" w:eastAsia="Arial" w:hAnsi="Arial"/>
          <w:sz w:val="17"/>
          <w:szCs w:val="17"/>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anti-bribery laws, including compliance with the Foreign Corrupt Practices Act and the United Kingdom Bribery Act;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trade relationships among foreign countries and/or between the United States and such countries;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arising from the tax laws of the United States or the foreign jurisdictions in which we operate;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face significant competition from companies that provide listings, information, lead generation, marketing, and car-buying services designed to help consumers shop for cars and to enable dealers to reach these consumers. Our competitors offer various marketplaces, products, and services that compete with us. Some of these competitors include:</w:t>
      </w:r>
    </w:p>
    <w:p>
      <w:pPr>
        <w:spacing w:after="0" w:line="7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major United States online automotive marketplaces: AutoTrader.com, Cars.com, and TrueCar.com;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United States automotive websites, such as Edmunds.com, KBB.com, and Carfax.com;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online automotive marketplaces and websites in our international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 marketing providers;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peer to peer marketplaces, such as Craigslist;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sites operated by individual automobile dealers;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online dealerships, such as Carvana and Vroom.</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 we may not be able to maintain or grow the number of dealers subscribing to, and advertising on, our marketplace, and our business and financial results may be adversely affected.</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or that existing competitors will expand to offer competing products or services, which could have an adverse effect on our business and financial results.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or could offer discounts that could significantly impede our ability to maintain our pricing structure. Our competitors may also develop and market new technologies that render our existing or future platform and associated products less competitive, unmarketable, or obsolete. In addition, if our competitors develop platforms with similar or superior functionality to ours, and our web traffic declines, we may need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to decrease our subscription and advertising fees. If we are unable to maintain our current pricing structure due to competitive pressures, our revenue would likely be reduced and our financial results would be negatively affected.</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7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the dealership industry is highly fragmented, a small number of interested parties have significant influence over the industry. These parties include national and regional dealership associations, national and local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7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Furthermore, auto manufacturers may provide their franchise dealers with financial or other marketing support conditioned upon such dealers’ adherence to certain marketing guidelines, which guidelines may evolve as a result of the COVID-19 pandemic. Auto manufacturers may determine that the manner in which certain of their franchise dealers use our platform is inconsistent with the terms of such marketing guidelines, which determination could result in potential or actual loss of the manufacturers’ financial or other marketing support to the dealers whose use of our platform is deemed objectionable. The potential or actual loss of such marketing support may cause such dealers to cease paying for our paid features, which may adversely affect our ability to maintain or grow the number of our paying dealers.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and we expect this will occur as a result of the COVID-19 pandemic.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success depends upon our relationships with third parties, including our payment processor, our data center hosts, our information technology providers, our data providers for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administration provider, and our general ledger provider, as well as our strategic partners, including consumer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whether as a result of the COVID-19 pandemic or otherwise,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materially and adversely affected.</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and we may become less competitive in attracting and retaining employees as a result of our recent expense reduction efforts and temporary freeze in hiring due to the COVID-19 pandemic. In addition, the loss of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While our business has grown rapidly as consumers and dealers have increasingly accessed our marketplace, we expect that our business will evolve in ways which may be difficult to predict, including as a result of the COVID-19 pandemic. For example, we anticipate that over time we may reach a point when investments in new user traffic are less productive and the growth of our revenue will require more focus on developing new products for consumers and dealers, and increasing our fees for our products. It is also possible that consumers and dealers could broadly determine that they no longer believe in the value of our marketplace. Our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provide consumers using our marketplace with our proprietary Instant Market Values, or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many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success depends, in part, on our ability to grow our business in response to the demands of consumers, dealers, and other constituents within the automotive industry as well as competitive pressures. In some circumstances, we have and will continue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including as a result of the COVID-19 pandemic. The risks we face in connection with acquisitions include:</w:t>
      </w:r>
    </w:p>
    <w:p>
      <w:pPr>
        <w:spacing w:after="0" w:line="80"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19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cause us to be reluctant to engage in future transactions, and harm our business generally. Acquisitions could result in dilutive issuances of our equity securities, the incurrence of debt, contingent liabilities, amortization expense, and impairment charges associated with acquired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intangible assets or goodwill, any of which could harm our financial condition. Also, the anticipated benefits of any acquisitions may not materialize.</w:t>
      </w:r>
    </w:p>
    <w:p>
      <w:pPr>
        <w:spacing w:after="0" w:line="3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17"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9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jurisdictions, or could require us to make adjustments to our marketplace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ind w:firstLine="510"/>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Laws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Antitrust and competition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6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seek to grow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is subject to risks related to the larger automotive industry ecosystem, including consumer demand, global supply chain challenges, trade relations between the United States and China and other macroeconomic issues, including the effects of the COVID-19 pandemic, which could have a material adverse effect on our business, revenue, results of operations, and financial condition.</w:t>
      </w:r>
    </w:p>
    <w:p>
      <w:pPr>
        <w:spacing w:after="0" w:line="5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and we expect that we are entering such a period as a result of the COVID-19 pandemic.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ind w:firstLine="510"/>
        <w:spacing w:after="0" w:line="263"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trade relations between the United States and China and other macroeconomic issues. These factors could have a material adverse effect on our business, revenue, results of operations, and financial condition.</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consequences we may face from the exit of the United Kingdom from the European Union could have a material adverse effect on our business, revenue, results of operations, and financial condition.</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United Kingdom’s exit from the European Union, or the EU, commonly referred to as “Brexit”, could adversely affect European and global economic or market conditions, contribute to instability in global financial markets</w:t>
      </w:r>
      <w:r>
        <w:rPr>
          <w:rFonts w:ascii="Arial" w:cs="Arial" w:eastAsia="Arial" w:hAnsi="Arial"/>
          <w:sz w:val="18"/>
          <w:szCs w:val="18"/>
          <w:color w:val="212529"/>
        </w:rPr>
        <w:t>, create uncertainty in the wider commercial, legal, and regulatory</w:t>
      </w:r>
      <w:r>
        <w:rPr>
          <w:rFonts w:ascii="Arial" w:cs="Arial" w:eastAsia="Arial" w:hAnsi="Arial"/>
          <w:sz w:val="18"/>
          <w:szCs w:val="18"/>
          <w:color w:val="auto"/>
        </w:rPr>
        <w:t xml:space="preserve"> </w:t>
      </w:r>
      <w:r>
        <w:rPr>
          <w:rFonts w:ascii="Arial" w:cs="Arial" w:eastAsia="Arial" w:hAnsi="Arial"/>
          <w:sz w:val="18"/>
          <w:szCs w:val="18"/>
          <w:color w:val="212529"/>
        </w:rPr>
        <w:t>environment</w:t>
      </w:r>
      <w:r>
        <w:rPr>
          <w:rFonts w:ascii="Arial" w:cs="Arial" w:eastAsia="Arial" w:hAnsi="Arial"/>
          <w:sz w:val="18"/>
          <w:szCs w:val="18"/>
          <w:color w:val="000000"/>
        </w:rPr>
        <w:t>, and cause disruptions to our business and operations in the United Kingdom</w:t>
      </w:r>
      <w:r>
        <w:rPr>
          <w:rFonts w:ascii="Arial" w:cs="Arial" w:eastAsia="Arial" w:hAnsi="Arial"/>
          <w:sz w:val="18"/>
          <w:szCs w:val="18"/>
          <w:color w:val="212529"/>
        </w:rPr>
        <w:t xml:space="preserve">, including with respect to our customers, suppliers, and consumers in the United Kingdom. As a result of this economic uncertainty, our dealer customers in particular may be unwilling to subscribe to our websites or renew or increase their existing subscriptions, as applicable. We may also face new regulatory costs and challenges that could have an adverse effect on our operations. Brexit has created economic uncertainty and its consequences </w:t>
      </w:r>
      <w:r>
        <w:rPr>
          <w:rFonts w:ascii="Arial" w:cs="Arial" w:eastAsia="Arial" w:hAnsi="Arial"/>
          <w:sz w:val="18"/>
          <w:szCs w:val="18"/>
          <w:color w:val="000000"/>
        </w:rPr>
        <w:t>could have a material adverse effect on our business, revenue,</w:t>
      </w:r>
      <w:r>
        <w:rPr>
          <w:rFonts w:ascii="Arial" w:cs="Arial" w:eastAsia="Arial" w:hAnsi="Arial"/>
          <w:sz w:val="18"/>
          <w:szCs w:val="18"/>
          <w:color w:val="212529"/>
        </w:rPr>
        <w:t xml:space="preserve"> </w:t>
      </w:r>
      <w:r>
        <w:rPr>
          <w:rFonts w:ascii="Arial" w:cs="Arial" w:eastAsia="Arial" w:hAnsi="Arial"/>
          <w:sz w:val="18"/>
          <w:szCs w:val="18"/>
          <w:color w:val="000000"/>
        </w:rPr>
        <w:t>results of operations, and financial condition.</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In addition, we recently provided paying dealers with discounted marketplace subscriptions for the April, May and June 2020 service periods in an effort to help our paying dealers maintain their business health during the COVID-19 pandemic. However, these strategies may not result in the long-term benefits that we expect, in which case our user traffic and engagement, business, and financial results could be harmed.</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 operating results, and financial condition.</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brand,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or physical or electronic break-ins, could affect the security or availability of our marketplace on our websites and mobile applications,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9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Substantially all of the communications, network, and computer hardware used to operate our platform is located in the United States near Boston, Massachusetts, and internationally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9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which are difficult to predict. If our third-party web hosting providers are unable to keep up with our capacity needs, our business could be harmed.</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2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Some functions of our marketplace involve the storage and transmission of consumers’ information, such as IP addresses, contact information of users who connect with dealers and profile information of users who create accounts on our marketplace,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6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1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71"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seek to comply with industry standards and are subject to the terms of our privacy policies and privacy-related obligations to third parties, as well as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California Consumer Privacy Act, or the CCPA, which went into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18"/>
          <w:szCs w:val="18"/>
          <w:color w:val="auto"/>
        </w:rPr>
        <w:t>effect on January 1, 2020. The CCPA, among other things, contains new disclosure obligations for businesses that collect personal information about California residents and provides California residents with additional rights relating to their personal information. The GDPR and CCPA in particular have already required, and may further require, us to change our policies and procedures and may in the future require us to make changes to our marketplace and other products. These and other requirements could reduce demand for our marketplace and other offerings, require us to take on more onerous obligations in our contracts and restrict our ability to store, transfer, and process data, which may seriously harm our business. Similarly, Brexit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or CCPA requirements.</w:t>
      </w:r>
    </w:p>
    <w:p>
      <w:pPr>
        <w:spacing w:after="0" w:line="19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17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b w:val="1"/>
          <w:bCs w:val="1"/>
          <w:i w:val="1"/>
          <w:iCs w:val="1"/>
          <w:color w:val="auto"/>
        </w:rPr>
        <w:t>Our ability to attract consumers to our own websites and for our advertising clients depends on the collection of consumer data from various sources, which may be restricted by consumer choice, privacy restrictions imposed by advertising partners, web browsers or other software, and developments in laws, regulations and industry standards.</w:t>
      </w:r>
    </w:p>
    <w:p>
      <w:pPr>
        <w:spacing w:after="0" w:line="7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success of our consumer marketing and the delivery of internet advertisements for our clients depends on our ability to leverage data, including data that we collect from our clients, data we receive from our publisher partners and third parties, and data from our operations. Using cookies and non-cookie-based technologies, such as mobile advertising identifiers, we collect information about the interactions of users with our clients’ and publishers’ digital properties (including, for example, information about the placement of advertisements and users’ shopping or other interactions with our clients’ websites or advertisements). Our ability to successfully leverage such data depends on our continued ability to access and use such data, which could be restricted by a number of factors, including:</w:t>
      </w:r>
    </w:p>
    <w:p>
      <w:pPr>
        <w:spacing w:after="0" w:line="84"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consumer adoption of “do not track” mechanisms as a result of legislation including GDPR and CCPA;</w:t>
      </w:r>
    </w:p>
    <w:p>
      <w:pPr>
        <w:spacing w:after="0" w:line="117"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developments in, or new interpretations of, privacy laws, regulations and industry standards.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clients. If we are unsuccessful in evolving our advertising and marketing strategies to adapt to and mitigate these evolving consumer data limitations, our business results could be materially impacted.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subject to claims and litigation by third parties that we infringe their intellectual property rights, and we may face allegations in the future that we have infringed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 We have encountered lawsuits in the past containing such allegations.</w:t>
      </w:r>
    </w:p>
    <w:p>
      <w:pPr>
        <w:spacing w:after="0" w:line="188"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 and features while we develop non-infringing substitutes, which could require significant effort and expense and may ultimately not be successful.</w:t>
      </w:r>
    </w:p>
    <w:p>
      <w:pPr>
        <w:spacing w:after="0" w:line="16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6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92"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7"/>
          <w:szCs w:val="17"/>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While we have registered the CARGURUS and CG logos in the EU and the United Kingdom, as well as the word-mark CARGURUS in Italy, France, Spain, the United Kingdom and, for a subset of services, Ireland, we were not able to register the word-mark CARGURUS in the EU and Germany as the mark was deemed to be non-distinctive, and thus not registerable.</w:t>
      </w:r>
    </w:p>
    <w:p>
      <w:pPr>
        <w:spacing w:after="0" w:line="16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have created and may in the future create copycat or squatter domains to deceive consumers, which could harm our brand, interfere with our ability to register domain names, and result in additional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if we fail to sufficiently manage our costs effectively.</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expect our annual revenue growth rate to halt or decline this year due to the COVID-19 pandemic and it is likely to continue to decline in the future as a result of a variety of factors. In addition, our new product launches will cause our costs to increase in future periods as we continue to expend substantial financial resources to promote such new products. If we fail to manage these additional costs as our annual revenue growth rate declines, we may incur losses in the future.</w:t>
      </w:r>
    </w:p>
    <w:p>
      <w:pPr>
        <w:spacing w:after="0" w:line="2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3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Across the retail automotive industry, consumer purchases are typically greatest in the first three quarters of each year, due in part to the introduction of new vehicle models from manufacturers, and our consumer-marketing spend generally fluctuates accordingly. As consumer automotive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 Redistribution of our marketing spend in response to COVID-19-related expense management and shifts in demand from dealers and consumers could impact the efficiency of our marketing spend. For example, a larger portion of our advertising may run during peak holiday seasonality for retail advertisers, inflating our media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adverse changes in applicable tax laws, regulations and interpretations, as well as challenges to our tax positions.</w:t>
      </w:r>
    </w:p>
    <w:p>
      <w:pPr>
        <w:spacing w:after="0" w:line="1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 xml:space="preserve">In addition, tax laws and regulations are complex and subject to varying interpretations. For instance, on June 21, 2018, the United States Supreme Court issued its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or the Wayfair Decision, which overturned prior case law that held that out-of-state merchants were not required to collect sales taxes unless they had a physical presence in the buyer’s state. The Wayfair Decision has created uncertainty over sales tax liability, and could precipitate reactions by legislators, regulators and courts that could adversely increase our tax administrative costs and tax risk, and negatively affect our overall business, results of operations, financial condition and cash flows.</w:t>
      </w:r>
    </w:p>
    <w:p>
      <w:pPr>
        <w:spacing w:after="0" w:line="176" w:lineRule="exact"/>
        <w:rPr>
          <w:sz w:val="20"/>
          <w:szCs w:val="20"/>
          <w:color w:val="auto"/>
        </w:rPr>
      </w:pPr>
    </w:p>
    <w:p>
      <w:pPr>
        <w:jc w:val="both"/>
        <w:ind w:firstLine="510"/>
        <w:spacing w:after="0" w:line="329" w:lineRule="auto"/>
        <w:rPr>
          <w:sz w:val="20"/>
          <w:szCs w:val="20"/>
          <w:color w:val="auto"/>
        </w:rPr>
      </w:pPr>
      <w:r>
        <w:rPr>
          <w:rFonts w:ascii="Arial" w:cs="Arial" w:eastAsia="Arial" w:hAnsi="Arial"/>
          <w:sz w:val="16"/>
          <w:szCs w:val="16"/>
          <w:color w:val="auto"/>
        </w:rPr>
        <w:t>We are also regularly subject to audits by tax authorities. For example, we are currently under audit by the Internal Revenue Service with respect to our 2016, 2017 and 2018 federal employment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growth.</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on the nature of our business we are exposed to potential fraudulent and illegal activity in our marketplace, including:</w:t>
      </w:r>
    </w:p>
    <w:p>
      <w:pPr>
        <w:spacing w:after="0" w:line="117"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listings of automobiles that are not owned by the purported dealer or that the dealer has no intention of selling at the listed price;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fraudulent leads that we may send to our dealers;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deceptive practices in our peer-to-peer marketplace, including through the seller’s listing of inventory without intent to sell or improper use of the private payment platform.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firstLine="510"/>
        <w:spacing w:after="0" w:line="257" w:lineRule="auto"/>
        <w:rPr>
          <w:sz w:val="20"/>
          <w:szCs w:val="20"/>
          <w:color w:val="auto"/>
        </w:rPr>
      </w:pPr>
      <w:r>
        <w:rPr>
          <w:rFonts w:ascii="Arial" w:cs="Arial" w:eastAsia="Arial" w:hAnsi="Arial"/>
          <w:sz w:val="18"/>
          <w:szCs w:val="18"/>
          <w:color w:val="auto"/>
        </w:rPr>
        <w:t>The measures we have in place to detect and limit the occurrence of such fraudulent and illegal activity in our marketplace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growth.</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7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6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79"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public’s reaction to our issuances of earnings guidance, as well as our press releases, other public announcements, and filings with the SEC;</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including as related to the COVID-19 pandemic, and positive or negative growth of our markets.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these companies. Litigation of this type, if instituted against us, could result in substantial costs and a diversion of our management’s attention and resources.</w:t>
      </w:r>
    </w:p>
    <w:p>
      <w:pPr>
        <w:spacing w:after="0" w:line="30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business could be negatively affected as a result of actions of activist stockholders, which could be disruptive and potentially costly, and such activism could impact the trading value of our common stock and cause uncertainty about the strategic direction of our business.</w:t>
      </w:r>
    </w:p>
    <w:p>
      <w:pPr>
        <w:spacing w:after="0" w:line="29"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212529"/>
        </w:rPr>
        <w:t xml:space="preserve">Even though we are a controlled company, the actions of activist stockholders could nevertheless adversely affect our business. Activist stockholders may from time to time attempt to effect changes in our strategic direction, and in furtherance thereof, may seek changes in how our company is governed. </w:t>
      </w:r>
      <w:r>
        <w:rPr>
          <w:rFonts w:ascii="Arial" w:cs="Arial" w:eastAsia="Arial" w:hAnsi="Arial"/>
          <w:sz w:val="16"/>
          <w:szCs w:val="16"/>
          <w:color w:val="000000"/>
        </w:rPr>
        <w:t>Responding to strategic proposals by activist stockholders related to our business, strategy, management or operations, or the composition of our</w:t>
      </w:r>
      <w:r>
        <w:rPr>
          <w:rFonts w:ascii="Arial" w:cs="Arial" w:eastAsia="Arial" w:hAnsi="Arial"/>
          <w:sz w:val="16"/>
          <w:szCs w:val="16"/>
          <w:color w:val="212529"/>
        </w:rPr>
        <w:t xml:space="preserve"> </w:t>
      </w:r>
      <w:r>
        <w:rPr>
          <w:rFonts w:ascii="Arial" w:cs="Arial" w:eastAsia="Arial" w:hAnsi="Arial"/>
          <w:sz w:val="16"/>
          <w:szCs w:val="16"/>
          <w:color w:val="000000"/>
        </w:rPr>
        <w:t>board of directors, could disrupt our operations, be costly and time-consuming, or divert the attention of our board of directors and senior management from the pursuit of business strategies. In addition, perceived uncertainties as to the future strategic direction of our business in relation to the actions of an activist stockholder may be exploited by our competitors, cause concern to current or potential customers, result in the loss of potential business opportunities, make it more difficult to attract and retain qualified personnel and/or affect our relationships with vendors, customers and other third parties. Actions of an activist stockholder may also cause fluctuations in the trading price of our Class A common stock based on temporary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speculative market perceptions or other factors that do not necessarily reflect the underlying fundamentals and prospects of our business.</w:t>
      </w: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exclusion of our Class A common stock from major stock indexes could adversely affect the trading market and price of our Class A common stock.</w:t>
      </w:r>
    </w:p>
    <w:p>
      <w:pPr>
        <w:spacing w:after="0" w:line="6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6"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jc w:val="both"/>
        <w:ind w:left="880" w:hanging="373"/>
        <w:spacing w:after="0" w:line="301"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49" w:lineRule="exact"/>
        <w:rPr>
          <w:rFonts w:ascii="Arial" w:cs="Arial" w:eastAsia="Arial" w:hAnsi="Arial"/>
          <w:sz w:val="16"/>
          <w:szCs w:val="16"/>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limiting the ability, from and after the threshold date, of stockholders to amend our amended and restated certificate of incorporation;</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 some stockholders holding more than 15% of our outstanding common stock from engaging in certain business combinations without approval of the holders of substantially all of our outstanding common stock.</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30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the trading price and trading volume of our Class A common stock could decline.</w:t>
      </w:r>
    </w:p>
    <w:p>
      <w:pPr>
        <w:spacing w:after="0" w:line="1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57"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880" w:right="20" w:hanging="373"/>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38" w:lineRule="exact"/>
        <w:rPr>
          <w:rFonts w:ascii="Arial" w:cs="Arial" w:eastAsia="Arial" w:hAnsi="Arial"/>
          <w:sz w:val="17"/>
          <w:szCs w:val="17"/>
          <w:color w:val="auto"/>
        </w:rPr>
      </w:pPr>
    </w:p>
    <w:p>
      <w:pPr>
        <w:ind w:left="880" w:right="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jc w:val="both"/>
        <w:ind w:left="880" w:hanging="373"/>
        <w:spacing w:after="0" w:line="286"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0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000" w:type="dxa"/>
            <w:vAlign w:val="bottom"/>
            <w:gridSpan w:val="2"/>
            <w:vMerge w:val="continue"/>
          </w:tcPr>
          <w:p>
            <w:pPr>
              <w:spacing w:after="0"/>
              <w:rPr>
                <w:sz w:val="10"/>
                <w:szCs w:val="10"/>
                <w:color w:val="auto"/>
              </w:rPr>
            </w:pPr>
          </w:p>
        </w:tc>
        <w:tc>
          <w:tcPr>
            <w:tcW w:w="522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0"/>
                <w:szCs w:val="10"/>
                <w:color w:val="auto"/>
              </w:rPr>
            </w:pP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File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Filing</w:t>
            </w: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Exhibit</w:t>
            </w:r>
          </w:p>
        </w:tc>
        <w:tc>
          <w:tcPr>
            <w:tcW w:w="920" w:type="dxa"/>
            <w:vAlign w:val="bottom"/>
          </w:tcPr>
          <w:p>
            <w:pP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220" w:type="dxa"/>
            <w:vAlign w:val="bottom"/>
            <w:tcBorders>
              <w:bottom w:val="single" w:sz="8" w:color="auto"/>
            </w:tcBorders>
            <w:gridSpan w:val="1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900" w:type="dxa"/>
            <w:vAlign w:val="bottom"/>
          </w:tcPr>
          <w:p>
            <w:pPr>
              <w:ind w:lef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320" w:type="dxa"/>
            <w:vAlign w:val="bottom"/>
            <w:gridSpan w:val="13"/>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Certification of Principal Executive Officer Pursuant to Rules 13a-14(a)</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gridSpan w:val="1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Pursuant to Section 302 of the Sarbanes-Oxley Act of 2002.</w:t>
              </w:r>
            </w:hyperlink>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0" w:type="dxa"/>
            <w:vAlign w:val="bottom"/>
          </w:tcPr>
          <w:p>
            <w:pPr>
              <w:ind w:lef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98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Certification of Principal Financial Officer and Principal Accounting</w:t>
              </w:r>
            </w:hyperlink>
          </w:p>
        </w:tc>
        <w:tc>
          <w:tcPr>
            <w:tcW w:w="3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Officer Pursuant to Rules 13a-14(a) and 15d-14(a) under the Securities</w:t>
              </w:r>
            </w:hyperlink>
          </w:p>
        </w:tc>
        <w:tc>
          <w:tcPr>
            <w:tcW w:w="2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Exchange Act of 1934, as Adopted Pursuant to Section 302 of the</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Sarbanes-Oxley Act of 2002.</w:t>
              </w:r>
            </w:hyperlink>
          </w:p>
        </w:tc>
        <w:tc>
          <w:tcPr>
            <w:tcW w:w="5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320" w:type="dxa"/>
            <w:vAlign w:val="bottom"/>
            <w:gridSpan w:val="1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 of Principal Executive Officer Pursuant to 18 U.S.C.</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Section 1350, as Adopted Pursuant to Section 906 of the Sarbanes-</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Oxley Act of 2002.</w:t>
              </w:r>
            </w:hyperlink>
          </w:p>
        </w:tc>
        <w:tc>
          <w:tcPr>
            <w:tcW w:w="3420" w:type="dxa"/>
            <w:vAlign w:val="bottom"/>
            <w:tcBorders>
              <w:top w:val="single" w:sz="8" w:color="0000EE"/>
            </w:tcBorders>
            <w:gridSpan w:val="4"/>
          </w:tcPr>
          <w:p>
            <w:pPr>
              <w:spacing w:after="0"/>
              <w:rPr>
                <w:sz w:val="17"/>
                <w:szCs w:val="17"/>
                <w:color w:val="auto"/>
              </w:rPr>
            </w:pPr>
          </w:p>
        </w:tc>
        <w:tc>
          <w:tcPr>
            <w:tcW w:w="5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532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Principal Financial Officer and Principal Accounting</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Officer Pursuant to 18 U.S.C. Section 1350, as Adopted Pursuant to</w:t>
              </w:r>
            </w:hyperlink>
          </w:p>
        </w:tc>
        <w:tc>
          <w:tcPr>
            <w:tcW w:w="60" w:type="dxa"/>
            <w:vAlign w:val="bottom"/>
            <w:tcBorders>
              <w:top w:val="single" w:sz="8" w:color="0000EE"/>
            </w:tcBorders>
          </w:tcPr>
          <w:p>
            <w:pPr>
              <w:spacing w:after="0"/>
              <w:rPr>
                <w:sz w:val="17"/>
                <w:szCs w:val="17"/>
                <w:color w:val="auto"/>
              </w:rPr>
            </w:pPr>
          </w:p>
        </w:tc>
        <w:tc>
          <w:tcPr>
            <w:tcW w:w="3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Section 906 of the Sarbanes-Oxley Act of 2002.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13"/>
          </w:tcPr>
          <w:p>
            <w:pPr>
              <w:spacing w:after="0"/>
              <w:rPr>
                <w:sz w:val="20"/>
                <w:szCs w:val="20"/>
                <w:color w:val="auto"/>
              </w:rPr>
            </w:pPr>
            <w:r>
              <w:rPr>
                <w:rFonts w:ascii="Arial" w:cs="Arial" w:eastAsia="Arial" w:hAnsi="Arial"/>
                <w:sz w:val="18"/>
                <w:szCs w:val="18"/>
                <w:color w:val="auto"/>
                <w:w w:val="99"/>
              </w:rPr>
              <w:t>Inline XBRL Instance Document – the instance document does not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13"/>
          </w:tcPr>
          <w:p>
            <w:pPr>
              <w:spacing w:after="0"/>
              <w:rPr>
                <w:sz w:val="20"/>
                <w:szCs w:val="20"/>
                <w:color w:val="auto"/>
              </w:rPr>
            </w:pPr>
            <w:r>
              <w:rPr>
                <w:rFonts w:ascii="Arial" w:cs="Arial" w:eastAsia="Arial" w:hAnsi="Arial"/>
                <w:sz w:val="18"/>
                <w:szCs w:val="18"/>
                <w:color w:val="auto"/>
                <w:w w:val="91"/>
              </w:rPr>
              <w:t>appear in the Interactive Data File because its XBRL tags are embedded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13"/>
          </w:tcPr>
          <w:p>
            <w:pPr>
              <w:spacing w:after="0"/>
              <w:rPr>
                <w:sz w:val="20"/>
                <w:szCs w:val="20"/>
                <w:color w:val="auto"/>
              </w:rPr>
            </w:pPr>
            <w:r>
              <w:rPr>
                <w:rFonts w:ascii="Arial" w:cs="Arial" w:eastAsia="Arial" w:hAnsi="Arial"/>
                <w:sz w:val="18"/>
                <w:szCs w:val="18"/>
                <w:color w:val="auto"/>
              </w:rPr>
              <w:t>with the Inline XBRL 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13"/>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13"/>
          </w:tcPr>
          <w:p>
            <w:pPr>
              <w:spacing w:after="0"/>
              <w:rPr>
                <w:sz w:val="20"/>
                <w:szCs w:val="20"/>
                <w:color w:val="auto"/>
              </w:rPr>
            </w:pPr>
            <w:r>
              <w:rPr>
                <w:rFonts w:ascii="Arial" w:cs="Arial" w:eastAsia="Arial" w:hAnsi="Arial"/>
                <w:sz w:val="18"/>
                <w:szCs w:val="18"/>
                <w:color w:val="auto"/>
                <w:w w:val="97"/>
              </w:rPr>
              <w:t>Inline XBRL Taxonomy Extension Presentation Linkbase Document.</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5320" w:type="dxa"/>
            <w:vAlign w:val="bottom"/>
            <w:gridSpan w:val="13"/>
          </w:tcPr>
          <w:p>
            <w:pPr>
              <w:spacing w:after="0"/>
              <w:rPr>
                <w:sz w:val="20"/>
                <w:szCs w:val="20"/>
                <w:color w:val="auto"/>
              </w:rPr>
            </w:pPr>
            <w:r>
              <w:rPr>
                <w:rFonts w:ascii="Arial" w:cs="Arial" w:eastAsia="Arial" w:hAnsi="Arial"/>
                <w:sz w:val="18"/>
                <w:szCs w:val="18"/>
                <w:color w:val="auto"/>
                <w:w w:val="96"/>
              </w:rPr>
              <w:t>The cover page from the Registrant’s Quarterly Report on Form 10-Q</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gridSpan w:val="13"/>
          </w:tcPr>
          <w:p>
            <w:pPr>
              <w:spacing w:after="0"/>
              <w:rPr>
                <w:sz w:val="20"/>
                <w:szCs w:val="20"/>
                <w:color w:val="auto"/>
              </w:rPr>
            </w:pPr>
            <w:r>
              <w:rPr>
                <w:rFonts w:ascii="Arial" w:cs="Arial" w:eastAsia="Arial" w:hAnsi="Arial"/>
                <w:sz w:val="18"/>
                <w:szCs w:val="18"/>
                <w:color w:val="auto"/>
              </w:rPr>
              <w:t>for the quarter ended March 31, 2020, formatted in Inline XBRL.</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5" w:lineRule="exact"/>
        <w:rPr>
          <w:sz w:val="20"/>
          <w:szCs w:val="20"/>
          <w:color w:val="auto"/>
        </w:rPr>
      </w:pPr>
    </w:p>
    <w:p>
      <w:pPr>
        <w:jc w:val="both"/>
        <w:ind w:left="380" w:right="20" w:hanging="372"/>
        <w:spacing w:after="0" w:line="26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6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440" w:type="dxa"/>
            <w:vAlign w:val="bottom"/>
          </w:tcPr>
          <w:p>
            <w:pPr>
              <w:spacing w:after="0"/>
              <w:rPr>
                <w:sz w:val="20"/>
                <w:szCs w:val="20"/>
                <w:color w:val="auto"/>
              </w:rPr>
            </w:pPr>
            <w:r>
              <w:rPr>
                <w:rFonts w:ascii="Arial" w:cs="Arial" w:eastAsia="Arial" w:hAnsi="Arial"/>
                <w:sz w:val="18"/>
                <w:szCs w:val="18"/>
                <w:color w:val="auto"/>
              </w:rPr>
              <w:t>Date: May 7, 2020</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/s/ Langley Steinert</w:t>
            </w:r>
          </w:p>
        </w:tc>
      </w:tr>
      <w:tr>
        <w:trPr>
          <w:trHeight w:val="222"/>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440" w:type="dxa"/>
            <w:vAlign w:val="bottom"/>
          </w:tcPr>
          <w:p>
            <w:pPr>
              <w:spacing w:after="0"/>
              <w:rPr>
                <w:sz w:val="20"/>
                <w:szCs w:val="20"/>
                <w:color w:val="auto"/>
              </w:rPr>
            </w:pPr>
            <w:r>
              <w:rPr>
                <w:rFonts w:ascii="Arial" w:cs="Arial" w:eastAsia="Arial" w:hAnsi="Arial"/>
                <w:sz w:val="18"/>
                <w:szCs w:val="18"/>
                <w:color w:val="auto"/>
              </w:rPr>
              <w:t>Date: May 7, 2020</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/s/ Jason Trevisan</w:t>
            </w:r>
          </w:p>
        </w:tc>
      </w:tr>
      <w:tr>
        <w:trPr>
          <w:trHeight w:val="222"/>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648"/>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Arial" w:cs="Arial" w:eastAsia="Arial" w:hAnsi="Arial"/>
                <w:sz w:val="18"/>
                <w:szCs w:val="18"/>
                <w:color w:val="auto"/>
              </w:rPr>
              <w:t>58</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7, 2020</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Langley Steinert</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7, 2020</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Jason Trevisan</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2020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7, 2020</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Langley Steinert</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In connection with the Quarterly Report on Form 10-Q of CarGurus, Inc. (the “Company”) for the period ending March 31, 2020 as filed with the Securities and Exchange Commission on the date hereof (the “Report”), I, Jason Trevisan, Chief Financial Officer and President, International of the Company, certify, pursuant to 18 U.S.C. § 1350, as adopted pursuant to § 906 of the Sarbanes-Oxley Act of 2002, that, based on my knowledge:</w:t>
      </w:r>
    </w:p>
    <w:p>
      <w:pPr>
        <w:spacing w:after="0" w:line="14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7, 2020</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Jason Trevisan</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2020-05-07T16:19:26Z</dcterms:created>
  <dcterms:modified xsi:type="dcterms:W3CDTF">2020-05-07T16:19:26Z</dcterms:modified>
</cp:coreProperties>
</file>