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5" w:lineRule="exact"/>
        <w:rPr>
          <w:sz w:val="24"/>
          <w:szCs w:val="24"/>
          <w:color w:val="auto"/>
        </w:rPr>
      </w:pPr>
    </w:p>
    <w:p>
      <w:pPr>
        <w:ind w:left="480" w:right="260" w:hanging="459"/>
        <w:spacing w:after="0" w:line="235" w:lineRule="auto"/>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5" w:lineRule="exact"/>
        <w:rPr>
          <w:sz w:val="24"/>
          <w:szCs w:val="24"/>
          <w:color w:val="auto"/>
        </w:rPr>
      </w:pPr>
    </w:p>
    <w:p>
      <w:pPr>
        <w:ind w:left="480" w:right="260" w:hanging="459"/>
        <w:spacing w:after="0" w:line="235" w:lineRule="auto"/>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CARGURUS,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04-3843478</w:t>
      </w:r>
    </w:p>
    <w:p>
      <w:pPr>
        <w:spacing w:after="0" w:line="22"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69" w:lineRule="exact"/>
        <w:rPr>
          <w:sz w:val="24"/>
          <w:szCs w:val="24"/>
          <w:color w:val="auto"/>
        </w:rPr>
      </w:pPr>
    </w:p>
    <w:p>
      <w:pPr>
        <w:sectPr>
          <w:pgSz w:w="11900" w:h="16838" w:orient="portrait"/>
          <w:cols w:equalWidth="0" w:num="2">
            <w:col w:w="7140" w:space="720"/>
            <w:col w:w="3380"/>
          </w:cols>
          <w:pgMar w:left="320" w:top="449" w:right="339" w:bottom="1440" w:gutter="0" w:footer="0" w:header="0"/>
          <w:type w:val="continuous"/>
        </w:sectPr>
      </w:pPr>
    </w:p>
    <w:tbl>
      <w:tblPr>
        <w:tblLayout w:type="fixed"/>
        <w:tblInd w:w="1620" w:type="dxa"/>
        <w:tblCellMar>
          <w:top w:w="0" w:type="dxa"/>
          <w:left w:w="0" w:type="dxa"/>
          <w:bottom w:w="0" w:type="dxa"/>
          <w:right w:w="0" w:type="dxa"/>
        </w:tblCellMar>
      </w:tblPr>
      <w:tr>
        <w:trPr>
          <w:trHeight w:val="207"/>
        </w:trPr>
        <w:tc>
          <w:tcPr>
            <w:tcW w:w="6400" w:type="dxa"/>
            <w:vAlign w:val="bottom"/>
          </w:tcPr>
          <w:p>
            <w:pPr>
              <w:jc w:val="center"/>
              <w:ind w:right="3937"/>
              <w:spacing w:after="0"/>
              <w:rPr>
                <w:sz w:val="20"/>
                <w:szCs w:val="20"/>
                <w:color w:val="auto"/>
              </w:rPr>
            </w:pPr>
            <w:r>
              <w:rPr>
                <w:rFonts w:ascii="Arial" w:cs="Arial" w:eastAsia="Arial" w:hAnsi="Arial"/>
                <w:sz w:val="18"/>
                <w:szCs w:val="18"/>
                <w:b w:val="1"/>
                <w:bCs w:val="1"/>
                <w:color w:val="auto"/>
                <w:w w:val="93"/>
              </w:rPr>
              <w:t>2 Canal Park, 4th Floor</w:t>
            </w:r>
          </w:p>
        </w:tc>
        <w:tc>
          <w:tcPr>
            <w:tcW w:w="740" w:type="dxa"/>
            <w:vAlign w:val="bottom"/>
          </w:tcPr>
          <w:p>
            <w:pPr>
              <w:spacing w:after="0"/>
              <w:rPr>
                <w:sz w:val="18"/>
                <w:szCs w:val="18"/>
                <w:color w:val="auto"/>
              </w:rPr>
            </w:pPr>
          </w:p>
        </w:tc>
      </w:tr>
      <w:tr>
        <w:trPr>
          <w:trHeight w:val="220"/>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Cambridge, Massachusetts</w:t>
            </w:r>
          </w:p>
        </w:tc>
        <w:tc>
          <w:tcPr>
            <w:tcW w:w="740" w:type="dxa"/>
            <w:vAlign w:val="bottom"/>
          </w:tcPr>
          <w:p>
            <w:pPr>
              <w:jc w:val="right"/>
              <w:ind w:right="19"/>
              <w:spacing w:after="0"/>
              <w:rPr>
                <w:sz w:val="20"/>
                <w:szCs w:val="20"/>
                <w:color w:val="auto"/>
              </w:rPr>
            </w:pPr>
            <w:r>
              <w:rPr>
                <w:rFonts w:ascii="Arial" w:cs="Arial" w:eastAsia="Arial" w:hAnsi="Arial"/>
                <w:sz w:val="18"/>
                <w:szCs w:val="18"/>
                <w:b w:val="1"/>
                <w:bCs w:val="1"/>
                <w:color w:val="auto"/>
              </w:rPr>
              <w:t>02141</w:t>
            </w:r>
          </w:p>
        </w:tc>
      </w:tr>
      <w:tr>
        <w:trPr>
          <w:trHeight w:val="186"/>
        </w:trPr>
        <w:tc>
          <w:tcPr>
            <w:tcW w:w="6400" w:type="dxa"/>
            <w:vAlign w:val="bottom"/>
          </w:tcPr>
          <w:p>
            <w:pPr>
              <w:jc w:val="center"/>
              <w:ind w:right="39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22"/>
        </w:trPr>
        <w:tc>
          <w:tcPr>
            <w:tcW w:w="6400" w:type="dxa"/>
            <w:vAlign w:val="bottom"/>
          </w:tcPr>
          <w:p>
            <w:pPr>
              <w:ind w:left="1680"/>
              <w:spacing w:after="0"/>
              <w:rPr>
                <w:sz w:val="20"/>
                <w:szCs w:val="20"/>
                <w:color w:val="auto"/>
              </w:rPr>
            </w:pPr>
            <w:r>
              <w:rPr>
                <w:rFonts w:ascii="Arial" w:cs="Arial" w:eastAsia="Arial" w:hAnsi="Arial"/>
                <w:sz w:val="16"/>
                <w:szCs w:val="16"/>
                <w:b w:val="1"/>
                <w:bCs w:val="1"/>
                <w:color w:val="auto"/>
                <w:w w:val="91"/>
              </w:rPr>
              <w:t>Registrant’s telephone number, including area code: (617) 354-0068</w:t>
            </w:r>
          </w:p>
        </w:tc>
        <w:tc>
          <w:tcPr>
            <w:tcW w:w="7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132080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74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20" w:type="dxa"/>
            <w:vAlign w:val="bottom"/>
            <w:gridSpan w:val="2"/>
          </w:tcPr>
          <w:p>
            <w:pPr>
              <w:jc w:val="center"/>
              <w:ind w:right="2120"/>
              <w:spacing w:after="0"/>
              <w:rPr>
                <w:sz w:val="20"/>
                <w:szCs w:val="20"/>
                <w:color w:val="auto"/>
              </w:rPr>
            </w:pPr>
            <w:r>
              <w:rPr>
                <w:rFonts w:ascii="Arial" w:cs="Arial" w:eastAsia="Arial" w:hAnsi="Arial"/>
                <w:sz w:val="16"/>
                <w:szCs w:val="16"/>
                <w:b w:val="1"/>
                <w:bCs w:val="1"/>
                <w:color w:val="auto"/>
                <w:w w:val="91"/>
              </w:rPr>
              <w:t>Title of Each Class</w:t>
            </w: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Trading Symbol</w:t>
            </w:r>
          </w:p>
        </w:tc>
        <w:tc>
          <w:tcPr>
            <w:tcW w:w="940" w:type="dxa"/>
            <w:vAlign w:val="bottom"/>
          </w:tcPr>
          <w:p>
            <w:pPr>
              <w:spacing w:after="0"/>
              <w:rPr>
                <w:sz w:val="16"/>
                <w:szCs w:val="16"/>
                <w:color w:val="auto"/>
              </w:rPr>
            </w:pPr>
          </w:p>
        </w:tc>
        <w:tc>
          <w:tcPr>
            <w:tcW w:w="33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4"/>
        </w:trPr>
        <w:tc>
          <w:tcPr>
            <w:tcW w:w="434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Class A Common Stock, par value $0.001 per share</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w:t>
            </w:r>
          </w:p>
        </w:tc>
        <w:tc>
          <w:tcPr>
            <w:tcW w:w="42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5"/>
              </w:rPr>
              <w:t>The Nasdaq Stock Market LLC (Nasdaq Global Select Market)</w:t>
            </w:r>
          </w:p>
        </w:tc>
      </w:tr>
    </w:tbl>
    <w:p>
      <w:pPr>
        <w:spacing w:after="0" w:line="241" w:lineRule="exact"/>
        <w:rPr>
          <w:sz w:val="24"/>
          <w:szCs w:val="24"/>
          <w:color w:val="auto"/>
        </w:rPr>
      </w:pPr>
    </w:p>
    <w:p>
      <w:pPr>
        <w:ind w:right="6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ind w:right="4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ind w:right="140"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20"/>
              <w:spacing w:after="0"/>
              <w:rPr>
                <w:sz w:val="20"/>
                <w:szCs w:val="20"/>
                <w:color w:val="auto"/>
              </w:rPr>
            </w:pPr>
            <w:r>
              <w:rPr>
                <w:rFonts w:ascii="Arial" w:cs="Arial" w:eastAsia="Arial" w:hAnsi="Arial"/>
                <w:sz w:val="18"/>
                <w:szCs w:val="18"/>
                <w:color w:val="auto"/>
              </w:rPr>
              <w:t>Small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1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8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ind w:firstLine="509"/>
        <w:spacing w:after="0" w:line="261" w:lineRule="auto"/>
        <w:rPr>
          <w:sz w:val="20"/>
          <w:szCs w:val="20"/>
          <w:color w:val="auto"/>
        </w:rPr>
      </w:pPr>
      <w:r>
        <w:rPr>
          <w:rFonts w:ascii="Arial" w:cs="Arial" w:eastAsia="Arial" w:hAnsi="Arial"/>
          <w:sz w:val="18"/>
          <w:szCs w:val="18"/>
          <w:color w:val="auto"/>
        </w:rPr>
        <w:t>As of August 4, 2022, the registrant had 102,689,181 shares of Class A common stock, $0.001 par value per share, and 15,999,173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22"/>
            <w:vMerge w:val="restart"/>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INFORMATION</w:t>
              </w:r>
            </w:hyperlink>
          </w:p>
        </w:tc>
        <w:tc>
          <w:tcPr>
            <w:tcW w:w="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00" w:type="dxa"/>
            <w:vAlign w:val="bottom"/>
            <w:gridSpan w:val="2"/>
            <w:vMerge w:val="continue"/>
          </w:tcPr>
          <w:p>
            <w:pPr>
              <w:spacing w:after="0"/>
              <w:rPr>
                <w:sz w:val="13"/>
                <w:szCs w:val="13"/>
                <w:color w:val="auto"/>
              </w:rPr>
            </w:pPr>
          </w:p>
        </w:tc>
        <w:tc>
          <w:tcPr>
            <w:tcW w:w="9420" w:type="dxa"/>
            <w:vAlign w:val="bottom"/>
            <w:gridSpan w:val="22"/>
            <w:vMerge w:val="continue"/>
          </w:tcPr>
          <w:p>
            <w:pPr>
              <w:spacing w:after="0"/>
              <w:rPr>
                <w:sz w:val="13"/>
                <w:szCs w:val="13"/>
                <w:color w:val="auto"/>
              </w:rPr>
            </w:pPr>
          </w:p>
        </w:tc>
        <w:tc>
          <w:tcPr>
            <w:tcW w:w="600" w:type="dxa"/>
            <w:vAlign w:val="bottom"/>
            <w:gridSpan w:val="3"/>
          </w:tcPr>
          <w:p>
            <w:pPr>
              <w:jc w:val="right"/>
              <w:ind w:right="20"/>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40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Borders>
              <w:top w:val="single" w:sz="8" w:color="0000FF"/>
            </w:tcBorders>
            <w:gridSpan w:val="5"/>
          </w:tcPr>
          <w:p>
            <w:pPr>
              <w:spacing w:after="0" w:line="169" w:lineRule="exact"/>
              <w:rPr>
                <w:rFonts w:ascii="Arial" w:cs="Arial" w:eastAsia="Arial" w:hAnsi="Arial"/>
                <w:sz w:val="18"/>
                <w:szCs w:val="18"/>
                <w:color w:val="0000FF"/>
                <w:w w:val="82"/>
              </w:rPr>
            </w:pPr>
            <w:hyperlink w:anchor="page5">
              <w:r>
                <w:rPr>
                  <w:rFonts w:ascii="Arial" w:cs="Arial" w:eastAsia="Arial" w:hAnsi="Arial"/>
                  <w:sz w:val="18"/>
                  <w:szCs w:val="18"/>
                  <w:color w:val="0000FF"/>
                  <w:w w:val="82"/>
                </w:rPr>
                <w:t>Unaudited Condensed</w:t>
              </w:r>
            </w:hyperlink>
          </w:p>
        </w:tc>
        <w:tc>
          <w:tcPr>
            <w:tcW w:w="20" w:type="dxa"/>
            <w:vAlign w:val="bottom"/>
            <w:tcBorders>
              <w:top w:val="single" w:sz="8" w:color="0000EE"/>
            </w:tcBorders>
          </w:tcPr>
          <w:p>
            <w:pPr>
              <w:spacing w:after="0"/>
              <w:rPr>
                <w:sz w:val="14"/>
                <w:szCs w:val="14"/>
                <w:color w:val="auto"/>
              </w:rPr>
            </w:pPr>
          </w:p>
        </w:tc>
        <w:tc>
          <w:tcPr>
            <w:tcW w:w="2220" w:type="dxa"/>
            <w:vAlign w:val="bottom"/>
            <w:gridSpan w:val="5"/>
          </w:tcPr>
          <w:p>
            <w:pPr>
              <w:ind w:left="120"/>
              <w:spacing w:after="0" w:line="16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Balance Sheets</w:t>
              </w:r>
            </w:hyperlink>
          </w:p>
        </w:tc>
        <w:tc>
          <w:tcPr>
            <w:tcW w:w="5680" w:type="dxa"/>
            <w:vAlign w:val="bottom"/>
            <w:gridSpan w:val="11"/>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20" w:type="dxa"/>
            <w:vAlign w:val="bottom"/>
            <w:tcBorders>
              <w:bottom w:val="single" w:sz="8" w:color="0000FF"/>
            </w:tcBorders>
            <w:gridSpan w:val="12"/>
          </w:tcPr>
          <w:p>
            <w:pPr>
              <w:spacing w:after="0" w:line="16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Unaudited Condensed Consolidated Income Statements</w:t>
              </w:r>
            </w:hyperlink>
          </w:p>
        </w:tc>
        <w:tc>
          <w:tcPr>
            <w:tcW w:w="5400" w:type="dxa"/>
            <w:vAlign w:val="bottom"/>
            <w:gridSpan w:val="10"/>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80" w:type="dxa"/>
            <w:vAlign w:val="bottom"/>
            <w:tcBorders>
              <w:bottom w:val="single" w:sz="8" w:color="0000FF"/>
            </w:tcBorders>
            <w:gridSpan w:val="18"/>
          </w:tcPr>
          <w:p>
            <w:pPr>
              <w:spacing w:after="0" w:line="16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Unaudited Condensed Consolidated Statements of Comprehensive Income</w:t>
              </w:r>
            </w:hyperlink>
          </w:p>
        </w:tc>
        <w:tc>
          <w:tcPr>
            <w:tcW w:w="20" w:type="dxa"/>
            <w:vAlign w:val="bottom"/>
            <w:tcBorders>
              <w:bottom w:val="single" w:sz="8" w:color="0000EE"/>
            </w:tcBorders>
          </w:tcPr>
          <w:p>
            <w:pPr>
              <w:spacing w:after="0"/>
              <w:rPr>
                <w:sz w:val="14"/>
                <w:szCs w:val="14"/>
                <w:color w:val="auto"/>
              </w:rPr>
            </w:pPr>
          </w:p>
        </w:tc>
        <w:tc>
          <w:tcPr>
            <w:tcW w:w="4020" w:type="dxa"/>
            <w:vAlign w:val="bottom"/>
            <w:gridSpan w:val="3"/>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0000FF"/>
            </w:tcBorders>
          </w:tcPr>
          <w:p>
            <w:pPr>
              <w:jc w:val="right"/>
              <w:spacing w:after="0" w:line="169" w:lineRule="exact"/>
              <w:rPr>
                <w:sz w:val="20"/>
                <w:szCs w:val="20"/>
                <w:color w:val="auto"/>
              </w:rPr>
            </w:pPr>
            <w:r>
              <w:rPr>
                <w:rFonts w:ascii="Arial" w:cs="Arial" w:eastAsia="Arial" w:hAnsi="Arial"/>
                <w:sz w:val="15"/>
                <w:szCs w:val="15"/>
                <w:color w:val="0000FF"/>
                <w:w w:val="71"/>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20" w:type="dxa"/>
            <w:vAlign w:val="bottom"/>
            <w:gridSpan w:val="22"/>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Unaudited Condensed Consolidated Statements of Redeemable Noncontrolling Interest and Stockholders’ Equity</w:t>
              </w:r>
            </w:hyperlink>
          </w:p>
        </w:tc>
        <w:tc>
          <w:tcPr>
            <w:tcW w:w="50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0000FF"/>
                <w:w w:val="71"/>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Condensed Consolidated Statements of Cash Flows</w:t>
              </w:r>
            </w:hyperlink>
          </w:p>
        </w:tc>
        <w:tc>
          <w:tcPr>
            <w:tcW w:w="20" w:type="dxa"/>
            <w:vAlign w:val="bottom"/>
            <w:tcBorders>
              <w:top w:val="single" w:sz="8" w:color="0000FF"/>
              <w:bottom w:val="single" w:sz="8" w:color="0000EE"/>
            </w:tcBorders>
          </w:tcPr>
          <w:p>
            <w:pPr>
              <w:spacing w:after="0"/>
              <w:rPr>
                <w:sz w:val="14"/>
                <w:szCs w:val="14"/>
                <w:color w:val="auto"/>
              </w:rPr>
            </w:pPr>
          </w:p>
        </w:tc>
        <w:tc>
          <w:tcPr>
            <w:tcW w:w="3620" w:type="dxa"/>
            <w:vAlign w:val="bottom"/>
            <w:tcBorders>
              <w:top w:val="single" w:sz="8" w:color="0000FF"/>
            </w:tcBorders>
            <w:gridSpan w:val="6"/>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top w:val="single" w:sz="8" w:color="0000FF"/>
              <w:bottom w:val="single" w:sz="8" w:color="0000FF"/>
            </w:tcBorders>
          </w:tcPr>
          <w:p>
            <w:pPr>
              <w:jc w:val="right"/>
              <w:spacing w:after="0" w:line="169" w:lineRule="exact"/>
              <w:rPr>
                <w:sz w:val="20"/>
                <w:szCs w:val="20"/>
                <w:color w:val="auto"/>
              </w:rPr>
            </w:pPr>
            <w:r>
              <w:rPr>
                <w:rFonts w:ascii="Arial" w:cs="Arial" w:eastAsia="Arial" w:hAnsi="Arial"/>
                <w:sz w:val="15"/>
                <w:szCs w:val="15"/>
                <w:color w:val="0000FF"/>
                <w:w w:val="71"/>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0" w:type="dxa"/>
            <w:vAlign w:val="bottom"/>
            <w:tcBorders>
              <w:bottom w:val="single" w:sz="8" w:color="0000FF"/>
            </w:tcBorders>
            <w:gridSpan w:val="16"/>
          </w:tcPr>
          <w:p>
            <w:pPr>
              <w:spacing w:after="0" w:line="169" w:lineRule="exact"/>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4"/>
                <w:szCs w:val="14"/>
                <w:color w:val="auto"/>
              </w:rPr>
            </w:pPr>
          </w:p>
        </w:tc>
        <w:tc>
          <w:tcPr>
            <w:tcW w:w="4600" w:type="dxa"/>
            <w:vAlign w:val="bottom"/>
            <w:gridSpan w:val="5"/>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420" w:type="dxa"/>
            <w:vAlign w:val="bottom"/>
            <w:gridSpan w:val="22"/>
          </w:tcPr>
          <w:p>
            <w:pPr>
              <w:spacing w:after="0" w:line="169" w:lineRule="exact"/>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2960" w:type="dxa"/>
            <w:vAlign w:val="bottom"/>
            <w:gridSpan w:val="2"/>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8"/>
              </w:rPr>
            </w:pPr>
            <w:hyperlink w:anchor="page41">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60" w:type="dxa"/>
            <w:vAlign w:val="bottom"/>
            <w:tcBorders>
              <w:top w:val="single" w:sz="8" w:color="0000FF"/>
            </w:tcBorders>
            <w:gridSpan w:val="5"/>
          </w:tcPr>
          <w:p>
            <w:pPr>
              <w:spacing w:after="0"/>
              <w:rPr>
                <w:sz w:val="14"/>
                <w:szCs w:val="14"/>
                <w:color w:val="auto"/>
              </w:rPr>
            </w:pPr>
          </w:p>
        </w:tc>
        <w:tc>
          <w:tcPr>
            <w:tcW w:w="5060" w:type="dxa"/>
            <w:vAlign w:val="bottom"/>
            <w:gridSpan w:val="9"/>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31"/>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22"/>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OTHER INFORMATION</w:t>
              </w:r>
            </w:hyperlink>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02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7400" w:type="dxa"/>
            <w:vAlign w:val="bottom"/>
            <w:gridSpan w:val="13"/>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8080" w:type="dxa"/>
            <w:vAlign w:val="bottom"/>
            <w:gridSpan w:val="18"/>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Item 5.</w:t>
            </w: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100" w:type="dxa"/>
            <w:vAlign w:val="bottom"/>
            <w:gridSpan w:val="19"/>
          </w:tcPr>
          <w:p>
            <w:pPr>
              <w:spacing w:after="0" w:line="20" w:lineRule="exact"/>
              <w:rPr>
                <w:sz w:val="1"/>
                <w:szCs w:val="1"/>
                <w:color w:val="auto"/>
              </w:rPr>
            </w:pPr>
          </w:p>
        </w:tc>
        <w:tc>
          <w:tcPr>
            <w:tcW w:w="600" w:type="dxa"/>
            <w:vAlign w:val="bottom"/>
            <w:gridSpan w:val="3"/>
            <w:vMerge w:val="restart"/>
          </w:tcPr>
          <w:p>
            <w:pPr>
              <w:jc w:val="right"/>
              <w:ind w:right="2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69"/>
        </w:trPr>
        <w:tc>
          <w:tcPr>
            <w:tcW w:w="1200" w:type="dxa"/>
            <w:vAlign w:val="bottom"/>
            <w:gridSpan w:val="2"/>
            <w:vMerge w:val="continue"/>
          </w:tcPr>
          <w:p>
            <w:pPr>
              <w:spacing w:after="0"/>
              <w:rPr>
                <w:sz w:val="14"/>
                <w:szCs w:val="14"/>
                <w:color w:val="auto"/>
              </w:rPr>
            </w:pPr>
          </w:p>
        </w:tc>
        <w:tc>
          <w:tcPr>
            <w:tcW w:w="9420" w:type="dxa"/>
            <w:vAlign w:val="bottom"/>
            <w:gridSpan w:val="22"/>
          </w:tcPr>
          <w:p>
            <w:pPr>
              <w:spacing w:after="0" w:line="169" w:lineRule="exact"/>
              <w:rPr>
                <w:rFonts w:ascii="Arial" w:cs="Arial" w:eastAsia="Arial" w:hAnsi="Arial"/>
                <w:sz w:val="18"/>
                <w:szCs w:val="18"/>
                <w:color w:val="0000FF"/>
              </w:rPr>
            </w:pPr>
            <w:hyperlink w:anchor="page57">
              <w:r>
                <w:rPr>
                  <w:rFonts w:ascii="Arial" w:cs="Arial" w:eastAsia="Arial" w:hAnsi="Arial"/>
                  <w:sz w:val="18"/>
                  <w:szCs w:val="18"/>
                  <w:color w:val="0000FF"/>
                </w:rPr>
                <w:t>Other Information</w:t>
              </w:r>
            </w:hyperlink>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w:anchor="page58">
              <w:r>
                <w:rPr>
                  <w:rFonts w:ascii="Arial" w:cs="Arial" w:eastAsia="Arial" w:hAnsi="Arial"/>
                  <w:sz w:val="18"/>
                  <w:szCs w:val="18"/>
                  <w:color w:val="0000FF"/>
                </w:rPr>
                <w:t>Exhibits</w:t>
              </w:r>
            </w:hyperlink>
          </w:p>
        </w:tc>
        <w:tc>
          <w:tcPr>
            <w:tcW w:w="8100" w:type="dxa"/>
            <w:vAlign w:val="bottom"/>
            <w:gridSpan w:val="19"/>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69"/>
        </w:trPr>
        <w:tc>
          <w:tcPr>
            <w:tcW w:w="1200" w:type="dxa"/>
            <w:vAlign w:val="bottom"/>
            <w:gridSpan w:val="2"/>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gridSpan w:val="3"/>
          </w:tcPr>
          <w:p>
            <w:pPr>
              <w:jc w:val="right"/>
              <w:ind w:right="20"/>
              <w:spacing w:after="0" w:line="16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08"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82" w:lineRule="exact"/>
        <w:rPr>
          <w:sz w:val="20"/>
          <w:szCs w:val="20"/>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proposition of our product offerings for dealers and consumers, and the return on investment that our dealers realize from our products;</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evolution to becoming a transaction-enabled marketplace where consumers can shop, buy, seek financing, and sell their cars and dealers can source, market, and sell their vehicles;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03"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future share issuances and the exercise of put and call rights in connection with potentially acquiring additional equity interests in CarOffer, LLC, or CarOffer, as well as the associated valuation of redeemable noncontrolling interests;</w:t>
      </w:r>
    </w:p>
    <w:p>
      <w:pPr>
        <w:spacing w:after="0" w:line="38" w:lineRule="exact"/>
        <w:rPr>
          <w:rFonts w:ascii="Arial" w:cs="Arial" w:eastAsia="Arial" w:hAnsi="Arial"/>
          <w:sz w:val="17"/>
          <w:szCs w:val="17"/>
          <w:color w:val="auto"/>
        </w:rPr>
      </w:pPr>
    </w:p>
    <w:p>
      <w:pPr>
        <w:ind w:left="900" w:hanging="383"/>
        <w:spacing w:after="0" w:line="291"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value proposition of the CarOffer online wholesale platform, including our belief that as dealer enrollments increase, dealers will see a corresponding increase in inventory on the platform, further enabling liquidity, selection, choice and business efficiencies;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CarGurus Instant Max Cash Offer, as well as our digital retail offerings and continued investments;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the global semiconductor chip shortage, changes to trade policies and other macroeconomic issues;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deferred tax assets;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material weakness in our internal control over financial reporting that we have identified, and our ability to remediate such weakness and enhance our internal control environment;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both"/>
        <w:ind w:firstLine="509"/>
        <w:spacing w:after="0" w:line="206"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191"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At</w:t>
            </w:r>
          </w:p>
        </w:tc>
        <w:tc>
          <w:tcPr>
            <w:tcW w:w="2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At</w:t>
            </w:r>
          </w:p>
        </w:tc>
      </w:tr>
      <w:tr>
        <w:trPr>
          <w:trHeight w:val="148"/>
        </w:trPr>
        <w:tc>
          <w:tcPr>
            <w:tcW w:w="7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7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338,238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231,944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Investments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90,000</w:t>
            </w:r>
          </w:p>
        </w:tc>
        <w:tc>
          <w:tcPr>
            <w:tcW w:w="100" w:type="dxa"/>
            <w:vAlign w:val="bottom"/>
          </w:tcPr>
          <w:p>
            <w:pPr>
              <w:spacing w:after="0"/>
              <w:rPr>
                <w:sz w:val="17"/>
                <w:szCs w:val="17"/>
                <w:color w:val="auto"/>
              </w:rPr>
            </w:pPr>
          </w:p>
        </w:tc>
      </w:tr>
      <w:tr>
        <w:trPr>
          <w:trHeight w:val="158"/>
        </w:trPr>
        <w:tc>
          <w:tcPr>
            <w:tcW w:w="768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Accounts receivable, net of allowance for doubtful accounts of $1,084</w:t>
            </w: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and $420, respectively</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193,431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189,324</w:t>
            </w:r>
          </w:p>
        </w:tc>
        <w:tc>
          <w:tcPr>
            <w:tcW w:w="100" w:type="dxa"/>
            <w:vAlign w:val="bottom"/>
            <w:shd w:val="clear" w:color="auto" w:fill="CFF0FC"/>
          </w:tcPr>
          <w:p>
            <w:pPr>
              <w:spacing w:after="0"/>
              <w:rPr>
                <w:sz w:val="19"/>
                <w:szCs w:val="19"/>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21,684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19,656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Prepaid expenses, prepaid income taxes and other current assets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24,599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16,430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Deferred contract costs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8,271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9,045</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Restricted cash</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13,291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629,514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563,108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35,343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32,210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68,338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83,915</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157,073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158,287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59,226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60,609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cash</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36,816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13,378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Deferred contract costs, net of current portion</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6,631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Other non-current assets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7,138</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1,009,706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931,574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Liabilities, redeemable noncontrolling interest and stockholders’ equity</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74,171</w:t>
            </w:r>
          </w:p>
        </w:tc>
        <w:tc>
          <w:tcPr>
            <w:tcW w:w="30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66,153</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74,391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78,586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15,071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12,784</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Operating lease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12,340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175,973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170,709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lease liabilities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56,110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57,519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non–current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51,251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283,366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251,925</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Commitments and contingencies (Note 7)</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Redeemable noncontrolling interest</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264,505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162,808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Stockholders’ equity:</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58"/>
        </w:trPr>
        <w:tc>
          <w:tcPr>
            <w:tcW w:w="7680" w:type="dxa"/>
            <w:vAlign w:val="bottom"/>
          </w:tcPr>
          <w:p>
            <w:pPr>
              <w:ind w:left="200"/>
              <w:spacing w:after="0" w:line="158" w:lineRule="exact"/>
              <w:rPr>
                <w:sz w:val="20"/>
                <w:szCs w:val="20"/>
                <w:color w:val="auto"/>
              </w:rPr>
            </w:pPr>
            <w:r>
              <w:rPr>
                <w:rFonts w:ascii="Arial" w:cs="Arial" w:eastAsia="Arial" w:hAnsi="Arial"/>
                <w:sz w:val="17"/>
                <w:szCs w:val="17"/>
                <w:color w:val="auto"/>
              </w:rPr>
              <w:t>Preferred stock, $0.001 par value; 10,000,000 shares authorized;</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7680" w:type="dxa"/>
            <w:vAlign w:val="bottom"/>
          </w:tcPr>
          <w:p>
            <w:pPr>
              <w:ind w:left="320"/>
              <w:spacing w:after="0"/>
              <w:rPr>
                <w:sz w:val="20"/>
                <w:szCs w:val="20"/>
                <w:color w:val="auto"/>
              </w:rPr>
            </w:pPr>
            <w:r>
              <w:rPr>
                <w:rFonts w:ascii="Arial" w:cs="Arial" w:eastAsia="Arial" w:hAnsi="Arial"/>
                <w:sz w:val="17"/>
                <w:szCs w:val="17"/>
                <w:color w:val="auto"/>
              </w:rPr>
              <w:t>no shares issued and outstanding</w:t>
            </w:r>
          </w:p>
        </w:tc>
        <w:tc>
          <w:tcPr>
            <w:tcW w:w="3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60"/>
        </w:trPr>
        <w:tc>
          <w:tcPr>
            <w:tcW w:w="7680" w:type="dxa"/>
            <w:vAlign w:val="bottom"/>
            <w:shd w:val="clear" w:color="auto" w:fill="CFF0FC"/>
          </w:tcPr>
          <w:p>
            <w:pPr>
              <w:ind w:left="200"/>
              <w:spacing w:after="0" w:line="160" w:lineRule="exact"/>
              <w:rPr>
                <w:sz w:val="20"/>
                <w:szCs w:val="20"/>
                <w:color w:val="auto"/>
              </w:rPr>
            </w:pPr>
            <w:r>
              <w:rPr>
                <w:rFonts w:ascii="Arial" w:cs="Arial" w:eastAsia="Arial" w:hAnsi="Arial"/>
                <w:sz w:val="17"/>
                <w:szCs w:val="17"/>
                <w:color w:val="auto"/>
              </w:rPr>
              <w:t>Class A common stock, $0.001 par value per share; 500,000,000 shares</w:t>
            </w: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80" w:type="dxa"/>
            <w:vAlign w:val="bottom"/>
            <w:shd w:val="clear" w:color="auto" w:fill="CFF0FC"/>
          </w:tcPr>
          <w:p>
            <w:pPr>
              <w:ind w:left="320"/>
              <w:spacing w:after="0" w:line="176" w:lineRule="exact"/>
              <w:rPr>
                <w:sz w:val="20"/>
                <w:szCs w:val="20"/>
                <w:color w:val="auto"/>
              </w:rPr>
            </w:pPr>
            <w:r>
              <w:rPr>
                <w:rFonts w:ascii="Arial" w:cs="Arial" w:eastAsia="Arial" w:hAnsi="Arial"/>
                <w:sz w:val="17"/>
                <w:szCs w:val="17"/>
                <w:color w:val="auto"/>
              </w:rPr>
              <w:t>authorized; 102,465,807 and 101,773,034 shares issued and outstanding</w:t>
            </w: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at June 30, 2022 and December 31, 2021, respectively</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FF0FC"/>
          </w:tcPr>
          <w:p>
            <w:pPr>
              <w:spacing w:after="0"/>
              <w:rPr>
                <w:sz w:val="19"/>
                <w:szCs w:val="19"/>
                <w:color w:val="auto"/>
              </w:rPr>
            </w:pPr>
          </w:p>
        </w:tc>
      </w:tr>
      <w:tr>
        <w:trPr>
          <w:trHeight w:val="158"/>
        </w:trPr>
        <w:tc>
          <w:tcPr>
            <w:tcW w:w="7680" w:type="dxa"/>
            <w:vAlign w:val="bottom"/>
          </w:tcPr>
          <w:p>
            <w:pPr>
              <w:ind w:left="200"/>
              <w:spacing w:after="0" w:line="158" w:lineRule="exact"/>
              <w:rPr>
                <w:sz w:val="20"/>
                <w:szCs w:val="20"/>
                <w:color w:val="auto"/>
              </w:rPr>
            </w:pPr>
            <w:r>
              <w:rPr>
                <w:rFonts w:ascii="Arial" w:cs="Arial" w:eastAsia="Arial" w:hAnsi="Arial"/>
                <w:sz w:val="17"/>
                <w:szCs w:val="17"/>
                <w:color w:val="auto"/>
              </w:rPr>
              <w:t>Class B common stock, $0.001 par value per share; 100,000,000 shares</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80" w:type="dxa"/>
            <w:vAlign w:val="bottom"/>
          </w:tcPr>
          <w:p>
            <w:pPr>
              <w:ind w:left="320"/>
              <w:spacing w:after="0" w:line="176" w:lineRule="exact"/>
              <w:rPr>
                <w:sz w:val="20"/>
                <w:szCs w:val="20"/>
                <w:color w:val="auto"/>
              </w:rPr>
            </w:pPr>
            <w:r>
              <w:rPr>
                <w:rFonts w:ascii="Arial" w:cs="Arial" w:eastAsia="Arial" w:hAnsi="Arial"/>
                <w:sz w:val="17"/>
                <w:szCs w:val="17"/>
                <w:color w:val="auto"/>
              </w:rPr>
              <w:t>authorized; 15,999,173 and 15,999,173 shares issued and outstanding</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7680" w:type="dxa"/>
            <w:vAlign w:val="bottom"/>
          </w:tcPr>
          <w:p>
            <w:pPr>
              <w:ind w:left="320"/>
              <w:spacing w:after="0"/>
              <w:rPr>
                <w:sz w:val="20"/>
                <w:szCs w:val="20"/>
                <w:color w:val="auto"/>
              </w:rPr>
            </w:pPr>
            <w:r>
              <w:rPr>
                <w:rFonts w:ascii="Arial" w:cs="Arial" w:eastAsia="Arial" w:hAnsi="Arial"/>
                <w:sz w:val="17"/>
                <w:szCs w:val="17"/>
                <w:color w:val="auto"/>
              </w:rPr>
              <w:t>at June 30, 2022 and December 31, 2021, respectively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r>
      <w:tr>
        <w:trPr>
          <w:trHeight w:val="205"/>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407,363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387,868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56,832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129,258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(2,478 )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(403 )</w:t>
            </w: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Total stockholders’ equity</w:t>
            </w: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461,835</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516,841</w:t>
            </w:r>
          </w:p>
        </w:tc>
        <w:tc>
          <w:tcPr>
            <w:tcW w:w="100" w:type="dxa"/>
            <w:vAlign w:val="bottom"/>
            <w:tcBorders>
              <w:top w:val="single" w:sz="8" w:color="CFF0FC"/>
            </w:tcBorders>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liabilities, redeemable noncontrolling interest and stockholders’ equity</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1,009,706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931,574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-4771390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-4771390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-3470910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-3453765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-2670810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-2148205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-2148205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-296545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5020"/>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Marketplace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163,926</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160,458</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327,215</w:t>
            </w:r>
          </w:p>
        </w:tc>
        <w:tc>
          <w:tcPr>
            <w:tcW w:w="2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316,259</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Wholesale</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75,937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53,514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166,931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67,317</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271,366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3,776</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447,691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5,540</w:t>
            </w: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revenue</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511,229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217,748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941,837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389,116</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Marketplace</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13,257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11,311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25,466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22,299</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Wholesale</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46,518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35,226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104,700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46,352</w:t>
            </w:r>
          </w:p>
        </w:tc>
        <w:tc>
          <w:tcPr>
            <w:tcW w:w="100" w:type="dxa"/>
            <w:vAlign w:val="bottom"/>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263,603</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3,780</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441,945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300"/>
              <w:spacing w:after="0" w:line="196" w:lineRule="exact"/>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323,378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50,317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572,111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74,375</w:t>
            </w:r>
          </w:p>
        </w:tc>
        <w:tc>
          <w:tcPr>
            <w:tcW w:w="100" w:type="dxa"/>
            <w:vAlign w:val="bottom"/>
          </w:tcPr>
          <w:p>
            <w:pPr>
              <w:spacing w:after="0"/>
              <w:rPr>
                <w:sz w:val="17"/>
                <w:szCs w:val="17"/>
                <w:color w:val="auto"/>
              </w:rPr>
            </w:pPr>
          </w:p>
        </w:tc>
      </w:tr>
      <w:tr>
        <w:trPr>
          <w:trHeight w:val="202"/>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187,851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167,431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369,726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314,741</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95,605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66,135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183,186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134,309</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Product, technology, and development</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31,354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27,630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62,007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52,794</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33,514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26,167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66,635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46,681</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9,022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7,697</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16,689</w:t>
            </w:r>
          </w:p>
        </w:tc>
        <w:tc>
          <w:tcPr>
            <w:tcW w:w="10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164,309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128,954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319,525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23,542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38,477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50,201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64,268</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(156 )</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(275 )</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7"/>
                <w:szCs w:val="17"/>
                <w:color w:val="auto"/>
              </w:rPr>
            </w:pP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23,386</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38,538</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49,926</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64,551</w:t>
            </w:r>
          </w:p>
        </w:tc>
        <w:tc>
          <w:tcPr>
            <w:tcW w:w="100" w:type="dxa"/>
            <w:vAlign w:val="bottom"/>
            <w:tcBorders>
              <w:top w:val="single" w:sz="8" w:color="CFF0FC"/>
            </w:tcBorders>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5,325</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11,142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13,027</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17,604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18,061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27,396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36,899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46,947</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attributable to redeemable noncontrolling interest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(1,223 )</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(656 )</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(2,295 )</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(3,466 )</w:t>
            </w: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attributable to CarGurus, Inc.</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19,284</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28,052</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39,194</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50,413</w:t>
            </w:r>
          </w:p>
        </w:tc>
        <w:tc>
          <w:tcPr>
            <w:tcW w:w="100" w:type="dxa"/>
            <w:vAlign w:val="bottom"/>
            <w:tcBorders>
              <w:top w:val="single" w:sz="8" w:color="CFF0FC"/>
            </w:tcBorders>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Accretion of redeemable noncontrolling interest to redemption value</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29,620</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111,620</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Net (loss) income attributable to common stockholders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(10,336 )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28,052</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(72,426 )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50,413</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w w:val="96"/>
              </w:rPr>
              <w:t>Net (loss) income per share attributable to common stockholders: (Note 9)</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(0.09 )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(0.61 )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(0.09</w:t>
            </w:r>
          </w:p>
        </w:tc>
        <w:tc>
          <w:tcPr>
            <w:tcW w:w="280" w:type="dxa"/>
            <w:vAlign w:val="bottom"/>
            <w:tcBorders>
              <w:bottom w:val="single" w:sz="8" w:color="CFF0FC"/>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(0.61</w:t>
            </w:r>
          </w:p>
        </w:tc>
        <w:tc>
          <w:tcPr>
            <w:tcW w:w="240" w:type="dxa"/>
            <w:vAlign w:val="bottom"/>
            <w:tcBorders>
              <w:bottom w:val="single" w:sz="8" w:color="CFF0FC"/>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43"/>
        </w:trPr>
        <w:tc>
          <w:tcPr>
            <w:tcW w:w="574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number of shares of common stock used in</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5740" w:type="dxa"/>
            <w:vAlign w:val="bottom"/>
          </w:tcPr>
          <w:p>
            <w:pPr>
              <w:ind w:left="160"/>
              <w:spacing w:after="0" w:line="176" w:lineRule="exact"/>
              <w:rPr>
                <w:sz w:val="20"/>
                <w:szCs w:val="20"/>
                <w:color w:val="auto"/>
              </w:rPr>
            </w:pPr>
            <w:r>
              <w:rPr>
                <w:rFonts w:ascii="Arial" w:cs="Arial" w:eastAsia="Arial" w:hAnsi="Arial"/>
                <w:sz w:val="18"/>
                <w:szCs w:val="18"/>
                <w:color w:val="auto"/>
              </w:rPr>
              <w:t>computing net (loss) income per share attributable to common</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118,390,641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117,124,895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118,211,975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116,722,913</w:t>
            </w:r>
          </w:p>
        </w:tc>
        <w:tc>
          <w:tcPr>
            <w:tcW w:w="100" w:type="dxa"/>
            <w:vAlign w:val="bottom"/>
            <w:shd w:val="clear" w:color="auto" w:fill="CFF0FC"/>
          </w:tcPr>
          <w:p>
            <w:pPr>
              <w:spacing w:after="0"/>
              <w:rPr>
                <w:sz w:val="17"/>
                <w:szCs w:val="17"/>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118,390,641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119,454,104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118,211,975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118,353,969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-3331845</wp:posOffset>
            </wp:positionV>
            <wp:extent cx="7747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-3331845</wp:posOffset>
            </wp:positionV>
            <wp:extent cx="768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-3331845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-3331845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-2286000</wp:posOffset>
            </wp:positionV>
            <wp:extent cx="774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-2286000</wp:posOffset>
            </wp:positionV>
            <wp:extent cx="76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-2286000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-2286000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-2019935</wp:posOffset>
            </wp:positionV>
            <wp:extent cx="7747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-2019935</wp:posOffset>
            </wp:positionV>
            <wp:extent cx="768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-2019935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-1754505</wp:posOffset>
            </wp:positionV>
            <wp:extent cx="7747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-1754505</wp:posOffset>
            </wp:positionV>
            <wp:extent cx="768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-1754505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-1488440</wp:posOffset>
            </wp:positionV>
            <wp:extent cx="7747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-1488440</wp:posOffset>
            </wp:positionV>
            <wp:extent cx="768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-1488440</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-1488440</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-1223010</wp:posOffset>
            </wp:positionV>
            <wp:extent cx="7747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-1223010</wp:posOffset>
            </wp:positionV>
            <wp:extent cx="768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-1223010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-1223010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-651510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-634365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-651510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-634365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-651510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-634365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-651510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-634365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0" w:lineRule="exact"/>
        <w:rPr>
          <w:sz w:val="20"/>
          <w:szCs w:val="20"/>
          <w:color w:val="auto"/>
        </w:rPr>
      </w:pPr>
    </w:p>
    <w:p>
      <w:pPr>
        <w:ind w:left="380" w:right="20" w:hanging="372"/>
        <w:spacing w:after="0" w:line="215" w:lineRule="auto"/>
        <w:tabs>
          <w:tab w:leader="none" w:pos="380" w:val="left"/>
        </w:tabs>
        <w:numPr>
          <w:ilvl w:val="0"/>
          <w:numId w:val="4"/>
        </w:numPr>
        <w:rPr>
          <w:rFonts w:ascii="Arial" w:cs="Arial" w:eastAsia="Arial" w:hAnsi="Arial"/>
          <w:sz w:val="24"/>
          <w:szCs w:val="24"/>
          <w:color w:val="auto"/>
          <w:vertAlign w:val="superscript"/>
        </w:rPr>
      </w:pPr>
      <w:r>
        <w:rPr>
          <w:rFonts w:ascii="Arial" w:cs="Arial" w:eastAsia="Arial" w:hAnsi="Arial"/>
          <w:sz w:val="18"/>
          <w:szCs w:val="18"/>
          <w:color w:val="auto"/>
        </w:rPr>
        <w:t>Includes depreciation and amortization expense for the three months ended June 30, 2022 and 2021 and for the six months ended June 30, 2022 and 2021 of $7,398, $1,143, $14,722 and $2,142, respectively.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18,061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27,396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36,899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46,947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(1,586 )</w:t>
            </w: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(2,075 )</w:t>
            </w: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(835 )</w:t>
            </w: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Consolidated comprehensive income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16,475</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27,644</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34,824</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46,112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Comprehensive loss attributable to redeemable</w:t>
            </w:r>
          </w:p>
        </w:tc>
        <w:tc>
          <w:tcPr>
            <w:tcW w:w="26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(1,223 )</w:t>
            </w:r>
          </w:p>
        </w:tc>
        <w:tc>
          <w:tcPr>
            <w:tcW w:w="30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(656 )</w:t>
            </w:r>
          </w:p>
        </w:tc>
        <w:tc>
          <w:tcPr>
            <w:tcW w:w="28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(2,295 )</w:t>
            </w:r>
          </w:p>
        </w:tc>
        <w:tc>
          <w:tcPr>
            <w:tcW w:w="28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(3,466 )</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Comprehensive income attributable to CarGurus, Inc.</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17,698</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28,300</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37,119</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49,578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-527685</wp:posOffset>
            </wp:positionV>
            <wp:extent cx="768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-527685</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-527685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-159385</wp:posOffset>
            </wp:positionV>
            <wp:extent cx="768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-159385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CarGurus,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 Condensed Consolidated Statements of Redeemable Noncontrolling Interest and Stockholders’ Equity</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Class A</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vMerge w:val="restart"/>
          </w:tcPr>
          <w:p>
            <w:pPr>
              <w:jc w:val="right"/>
              <w:ind w:right="442"/>
              <w:spacing w:after="0"/>
              <w:rPr>
                <w:sz w:val="20"/>
                <w:szCs w:val="20"/>
                <w:color w:val="auto"/>
              </w:rPr>
            </w:pPr>
            <w:r>
              <w:rPr>
                <w:rFonts w:ascii="Arial" w:cs="Arial" w:eastAsia="Arial" w:hAnsi="Arial"/>
                <w:sz w:val="12"/>
                <w:szCs w:val="12"/>
                <w:b w:val="1"/>
                <w:bCs w:val="1"/>
                <w:color w:val="auto"/>
              </w:rPr>
              <w:t>Class B</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162"/>
              <w:spacing w:after="0" w:line="117" w:lineRule="exact"/>
              <w:rPr>
                <w:sz w:val="20"/>
                <w:szCs w:val="20"/>
                <w:color w:val="auto"/>
              </w:rPr>
            </w:pPr>
            <w:r>
              <w:rPr>
                <w:rFonts w:ascii="Arial" w:cs="Arial" w:eastAsia="Arial" w:hAnsi="Arial"/>
                <w:sz w:val="12"/>
                <w:szCs w:val="12"/>
                <w:b w:val="1"/>
                <w:bCs w:val="1"/>
                <w:color w:val="auto"/>
                <w:w w:val="87"/>
              </w:rPr>
              <w:t>Redeemable</w:t>
            </w: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300"/>
              <w:spacing w:after="0" w:line="117" w:lineRule="exact"/>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0"/>
                <w:szCs w:val="10"/>
                <w:color w:val="auto"/>
              </w:rPr>
            </w:pPr>
          </w:p>
        </w:tc>
        <w:tc>
          <w:tcPr>
            <w:tcW w:w="720" w:type="dxa"/>
            <w:vAlign w:val="bottom"/>
            <w:gridSpan w:val="2"/>
          </w:tcPr>
          <w:p>
            <w:pPr>
              <w:jc w:val="right"/>
              <w:ind w:right="360"/>
              <w:spacing w:after="0" w:line="117"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980" w:type="dxa"/>
            <w:vAlign w:val="bottom"/>
            <w:tcBorders>
              <w:right w:val="single" w:sz="8" w:color="auto"/>
            </w:tcBorders>
            <w:gridSpan w:val="3"/>
          </w:tcPr>
          <w:p>
            <w:pPr>
              <w:jc w:val="center"/>
              <w:ind w:right="62"/>
              <w:spacing w:after="0"/>
              <w:rPr>
                <w:sz w:val="20"/>
                <w:szCs w:val="20"/>
                <w:color w:val="auto"/>
              </w:rPr>
            </w:pPr>
            <w:r>
              <w:rPr>
                <w:rFonts w:ascii="Arial" w:cs="Arial" w:eastAsia="Arial" w:hAnsi="Arial"/>
                <w:sz w:val="12"/>
                <w:szCs w:val="12"/>
                <w:b w:val="1"/>
                <w:bCs w:val="1"/>
                <w:color w:val="auto"/>
                <w:w w:val="86"/>
              </w:rPr>
              <w:t>Noncontrolling</w:t>
            </w:r>
          </w:p>
        </w:tc>
        <w:tc>
          <w:tcPr>
            <w:tcW w:w="10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0"/>
              </w:rPr>
              <w:t>Retained</w:t>
            </w:r>
          </w:p>
        </w:tc>
        <w:tc>
          <w:tcPr>
            <w:tcW w:w="10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6"/>
              </w:rPr>
              <w:t>Comprehensive</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center"/>
              <w:ind w:right="162"/>
              <w:spacing w:after="0" w:line="136" w:lineRule="exact"/>
              <w:rPr>
                <w:sz w:val="20"/>
                <w:szCs w:val="20"/>
                <w:color w:val="auto"/>
              </w:rPr>
            </w:pPr>
            <w:r>
              <w:rPr>
                <w:rFonts w:ascii="Arial" w:cs="Arial" w:eastAsia="Arial" w:hAnsi="Arial"/>
                <w:sz w:val="12"/>
                <w:szCs w:val="12"/>
                <w:b w:val="1"/>
                <w:bCs w:val="1"/>
                <w:color w:val="auto"/>
                <w:w w:val="87"/>
              </w:rPr>
              <w:t>Interest</w:t>
            </w:r>
          </w:p>
        </w:tc>
        <w:tc>
          <w:tcPr>
            <w:tcW w:w="10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620" w:type="dxa"/>
            <w:vAlign w:val="bottom"/>
          </w:tcPr>
          <w:p>
            <w:pPr>
              <w:jc w:val="right"/>
              <w:ind w:right="122"/>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2"/>
                <w:szCs w:val="12"/>
                <w:color w:val="auto"/>
              </w:rPr>
            </w:pPr>
          </w:p>
        </w:tc>
        <w:tc>
          <w:tcPr>
            <w:tcW w:w="80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w w:val="89"/>
              </w:rPr>
              <w:t>Earnings</w:t>
            </w: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85"/>
              </w:rPr>
              <w:t>Loss (Income)</w:t>
            </w: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09"/>
        </w:trPr>
        <w:tc>
          <w:tcPr>
            <w:tcW w:w="26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101,773,0</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Balance as of December 31, 2021</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162,808</w:t>
            </w: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15,999,173</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387,868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129,258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(403 )</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516,841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2"/>
              <w:spacing w:after="0"/>
              <w:rPr>
                <w:sz w:val="20"/>
                <w:szCs w:val="20"/>
                <w:color w:val="auto"/>
              </w:rPr>
            </w:pPr>
            <w:r>
              <w:rPr>
                <w:rFonts w:ascii="Arial" w:cs="Arial" w:eastAsia="Arial" w:hAnsi="Arial"/>
                <w:sz w:val="12"/>
                <w:szCs w:val="12"/>
                <w:color w:val="auto"/>
              </w:rPr>
              <w:t>(1,072 )</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19,910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19,910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Stock–based compensation expense</w:t>
            </w:r>
          </w:p>
        </w:tc>
        <w:tc>
          <w:tcPr>
            <w:tcW w:w="10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15,353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w w:val="97"/>
              </w:rPr>
              <w:t>Issuance of common stock upon exercise of stock</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options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74,163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680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20" w:type="dxa"/>
            <w:vAlign w:val="bottom"/>
            <w:shd w:val="clear" w:color="auto" w:fill="CFF0FC"/>
          </w:tcPr>
          <w:p>
            <w:pPr>
              <w:ind w:left="20"/>
              <w:spacing w:after="0" w:line="119" w:lineRule="exact"/>
              <w:rPr>
                <w:sz w:val="20"/>
                <w:szCs w:val="20"/>
                <w:color w:val="auto"/>
              </w:rPr>
            </w:pPr>
            <w:r>
              <w:rPr>
                <w:rFonts w:ascii="Arial" w:cs="Arial" w:eastAsia="Arial" w:hAnsi="Arial"/>
                <w:sz w:val="12"/>
                <w:szCs w:val="12"/>
                <w:color w:val="auto"/>
                <w:w w:val="92"/>
              </w:rPr>
              <w:t>Issuance of common stock upon vesting of restricted</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 units</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451,084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rPr>
              <w:t>Payment of withholding taxes on net share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settlements of equity awards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(155,736 )</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(5,430 )</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(5,430 )</w:t>
            </w:r>
          </w:p>
        </w:tc>
        <w:tc>
          <w:tcPr>
            <w:tcW w:w="0" w:type="dxa"/>
            <w:vAlign w:val="bottom"/>
          </w:tcPr>
          <w:p>
            <w:pPr>
              <w:spacing w:after="0"/>
              <w:rPr>
                <w:sz w:val="1"/>
                <w:szCs w:val="1"/>
                <w:color w:val="auto"/>
              </w:rPr>
            </w:pPr>
          </w:p>
        </w:tc>
      </w:tr>
      <w:tr>
        <w:trPr>
          <w:trHeight w:val="119"/>
        </w:trPr>
        <w:tc>
          <w:tcPr>
            <w:tcW w:w="2620" w:type="dxa"/>
            <w:vAlign w:val="bottom"/>
            <w:shd w:val="clear" w:color="auto" w:fill="CFF0FC"/>
          </w:tcPr>
          <w:p>
            <w:pPr>
              <w:ind w:left="20"/>
              <w:spacing w:after="0" w:line="119" w:lineRule="exact"/>
              <w:rPr>
                <w:sz w:val="20"/>
                <w:szCs w:val="20"/>
                <w:color w:val="auto"/>
              </w:rPr>
            </w:pPr>
            <w:r>
              <w:rPr>
                <w:rFonts w:ascii="Arial" w:cs="Arial" w:eastAsia="Arial" w:hAnsi="Arial"/>
                <w:sz w:val="12"/>
                <w:szCs w:val="12"/>
                <w:color w:val="auto"/>
                <w:w w:val="97"/>
              </w:rPr>
              <w:t>Accretion of redeemable noncontrolling interest to</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redemption value</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82,000</w:t>
            </w: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(82,000 )</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(82,000 )</w:t>
            </w: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rPr>
              <w:t>Tax distributions to redeemable noncontrolling</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interest holders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22"/>
              <w:spacing w:after="0"/>
              <w:rPr>
                <w:sz w:val="20"/>
                <w:szCs w:val="20"/>
                <w:color w:val="auto"/>
              </w:rPr>
            </w:pPr>
            <w:r>
              <w:rPr>
                <w:rFonts w:ascii="Arial" w:cs="Arial" w:eastAsia="Arial" w:hAnsi="Arial"/>
                <w:sz w:val="12"/>
                <w:szCs w:val="12"/>
                <w:color w:val="auto"/>
              </w:rPr>
              <w:t>(3,986 )</w:t>
            </w: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(489 )</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(489 )</w:t>
            </w:r>
          </w:p>
        </w:tc>
        <w:tc>
          <w:tcPr>
            <w:tcW w:w="0" w:type="dxa"/>
            <w:vAlign w:val="bottom"/>
          </w:tcPr>
          <w:p>
            <w:pPr>
              <w:spacing w:after="0"/>
              <w:rPr>
                <w:sz w:val="1"/>
                <w:szCs w:val="1"/>
                <w:color w:val="auto"/>
              </w:rPr>
            </w:pPr>
          </w:p>
        </w:tc>
      </w:tr>
      <w:tr>
        <w:trPr>
          <w:trHeight w:val="109"/>
        </w:trPr>
        <w:tc>
          <w:tcPr>
            <w:tcW w:w="26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102,142,5</w:t>
            </w: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20" w:type="dxa"/>
            <w:vAlign w:val="bottom"/>
          </w:tcPr>
          <w:p>
            <w:pPr>
              <w:ind w:left="20"/>
              <w:spacing w:after="0"/>
              <w:rPr>
                <w:sz w:val="20"/>
                <w:szCs w:val="20"/>
                <w:color w:val="auto"/>
              </w:rPr>
            </w:pPr>
            <w:r>
              <w:rPr>
                <w:rFonts w:ascii="Arial" w:cs="Arial" w:eastAsia="Arial" w:hAnsi="Arial"/>
                <w:sz w:val="12"/>
                <w:szCs w:val="12"/>
                <w:color w:val="auto"/>
              </w:rPr>
              <w:t>Balance as of March 31, 2022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239,750</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w:t>
            </w:r>
          </w:p>
        </w:tc>
        <w:tc>
          <w:tcPr>
            <w:tcW w:w="220" w:type="dxa"/>
            <w:vAlign w:val="bottom"/>
          </w:tcPr>
          <w:p>
            <w:pPr>
              <w:spacing w:after="0"/>
              <w:rPr>
                <w:sz w:val="13"/>
                <w:szCs w:val="13"/>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15,999,173</w:t>
            </w:r>
          </w:p>
        </w:tc>
        <w:tc>
          <w:tcPr>
            <w:tcW w:w="200" w:type="dxa"/>
            <w:vAlign w:val="bottom"/>
          </w:tcPr>
          <w:p>
            <w:pPr>
              <w:spacing w:after="0"/>
              <w:rPr>
                <w:sz w:val="13"/>
                <w:szCs w:val="13"/>
                <w:color w:val="auto"/>
              </w:rPr>
            </w:pPr>
          </w:p>
        </w:tc>
        <w:tc>
          <w:tcPr>
            <w:tcW w:w="640" w:type="dxa"/>
            <w:vAlign w:val="bottom"/>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tcPr>
          <w:p>
            <w:pPr>
              <w:jc w:val="right"/>
              <w:spacing w:after="0"/>
              <w:rPr>
                <w:sz w:val="20"/>
                <w:szCs w:val="20"/>
                <w:color w:val="auto"/>
              </w:rPr>
            </w:pPr>
            <w:r>
              <w:rPr>
                <w:rFonts w:ascii="Arial" w:cs="Arial" w:eastAsia="Arial" w:hAnsi="Arial"/>
                <w:sz w:val="12"/>
                <w:szCs w:val="12"/>
                <w:color w:val="auto"/>
                <w:w w:val="89"/>
              </w:rPr>
              <w:t>16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398,471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67,168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(892 )</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464,865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 income</w:t>
            </w: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(1,223</w:t>
            </w:r>
          </w:p>
        </w:tc>
        <w:tc>
          <w:tcPr>
            <w:tcW w:w="140" w:type="dxa"/>
            <w:vAlign w:val="bottom"/>
            <w:tcBorders>
              <w:right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98"/>
              </w:rPr>
              <w:t>)</w:t>
            </w:r>
          </w:p>
        </w:tc>
        <w:tc>
          <w:tcPr>
            <w:tcW w:w="10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19,284</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19,284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14,697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14,697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620" w:type="dxa"/>
            <w:vAlign w:val="bottom"/>
            <w:shd w:val="clear" w:color="auto" w:fill="CFF0FC"/>
          </w:tcPr>
          <w:p>
            <w:pPr>
              <w:ind w:left="20"/>
              <w:spacing w:after="0" w:line="115" w:lineRule="exact"/>
              <w:rPr>
                <w:sz w:val="20"/>
                <w:szCs w:val="20"/>
                <w:color w:val="auto"/>
              </w:rPr>
            </w:pPr>
            <w:r>
              <w:rPr>
                <w:rFonts w:ascii="Arial" w:cs="Arial" w:eastAsia="Arial" w:hAnsi="Arial"/>
                <w:sz w:val="12"/>
                <w:szCs w:val="12"/>
                <w:color w:val="auto"/>
                <w:w w:val="97"/>
              </w:rPr>
              <w:t>Issuance of common stock upon exercise of stock</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options</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23,240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w w:val="92"/>
              </w:rPr>
              <w:t>Issuance of common stock upon vesting of restricted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stock units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447,555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620" w:type="dxa"/>
            <w:vAlign w:val="bottom"/>
            <w:shd w:val="clear" w:color="auto" w:fill="CFF0FC"/>
          </w:tcPr>
          <w:p>
            <w:pPr>
              <w:ind w:left="20"/>
              <w:spacing w:after="0" w:line="119" w:lineRule="exact"/>
              <w:rPr>
                <w:sz w:val="20"/>
                <w:szCs w:val="20"/>
                <w:color w:val="auto"/>
              </w:rPr>
            </w:pPr>
            <w:r>
              <w:rPr>
                <w:rFonts w:ascii="Arial" w:cs="Arial" w:eastAsia="Arial" w:hAnsi="Arial"/>
                <w:sz w:val="12"/>
                <w:szCs w:val="12"/>
                <w:color w:val="auto"/>
              </w:rPr>
              <w:t>Payment of withholding taxes on net share</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settlements of equity awards</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(147,533 )</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(5,830 )</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(5,830 )</w:t>
            </w: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w w:val="97"/>
              </w:rPr>
              <w:t>Accretion of redeemable noncontrolling interest to</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redemption value</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29,620</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(29,620 )</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(29,620 )</w:t>
            </w:r>
          </w:p>
        </w:tc>
        <w:tc>
          <w:tcPr>
            <w:tcW w:w="0" w:type="dxa"/>
            <w:vAlign w:val="bottom"/>
          </w:tcPr>
          <w:p>
            <w:pPr>
              <w:spacing w:after="0"/>
              <w:rPr>
                <w:sz w:val="1"/>
                <w:szCs w:val="1"/>
                <w:color w:val="auto"/>
              </w:rPr>
            </w:pPr>
          </w:p>
        </w:tc>
      </w:tr>
      <w:tr>
        <w:trPr>
          <w:trHeight w:val="119"/>
        </w:trPr>
        <w:tc>
          <w:tcPr>
            <w:tcW w:w="2620" w:type="dxa"/>
            <w:vAlign w:val="bottom"/>
            <w:shd w:val="clear" w:color="auto" w:fill="CFF0FC"/>
          </w:tcPr>
          <w:p>
            <w:pPr>
              <w:ind w:left="20"/>
              <w:spacing w:after="0" w:line="119" w:lineRule="exact"/>
              <w:rPr>
                <w:sz w:val="20"/>
                <w:szCs w:val="20"/>
                <w:color w:val="auto"/>
              </w:rPr>
            </w:pPr>
            <w:r>
              <w:rPr>
                <w:rFonts w:ascii="Arial" w:cs="Arial" w:eastAsia="Arial" w:hAnsi="Arial"/>
                <w:sz w:val="12"/>
                <w:szCs w:val="12"/>
                <w:color w:val="auto"/>
              </w:rPr>
              <w:t>Tax distributions to redeemable noncontrolling</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interest holders</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(3,642 )</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(1,586 )</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(1,586 )</w:t>
            </w:r>
          </w:p>
        </w:tc>
        <w:tc>
          <w:tcPr>
            <w:tcW w:w="0" w:type="dxa"/>
            <w:vAlign w:val="bottom"/>
          </w:tcPr>
          <w:p>
            <w:pPr>
              <w:spacing w:after="0"/>
              <w:rPr>
                <w:sz w:val="1"/>
                <w:szCs w:val="1"/>
                <w:color w:val="auto"/>
              </w:rPr>
            </w:pPr>
          </w:p>
        </w:tc>
      </w:tr>
      <w:tr>
        <w:trPr>
          <w:trHeight w:val="109"/>
        </w:trPr>
        <w:tc>
          <w:tcPr>
            <w:tcW w:w="26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102,465,8</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2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Balance at June 30, 2022</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264,505</w:t>
            </w: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15,999,173</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16</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407,363</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56,832</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(2,478 )</w:t>
            </w:r>
          </w:p>
        </w:tc>
        <w:tc>
          <w:tcPr>
            <w:tcW w:w="140" w:type="dxa"/>
            <w:vAlign w:val="bottom"/>
            <w:shd w:val="clear" w:color="auto" w:fill="CFF0FC"/>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461,835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6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5" w:lineRule="exact"/>
              <w:rPr>
                <w:sz w:val="20"/>
                <w:szCs w:val="20"/>
                <w:color w:val="auto"/>
              </w:rPr>
            </w:pPr>
            <w:r>
              <w:rPr>
                <w:rFonts w:ascii="Arial" w:cs="Arial" w:eastAsia="Arial" w:hAnsi="Arial"/>
                <w:sz w:val="12"/>
                <w:szCs w:val="12"/>
                <w:color w:val="auto"/>
              </w:rPr>
              <w:t>94,310,30</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Balance as of December 31, 2020</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19,076,500</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242,181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129,412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373,586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2"/>
              <w:spacing w:after="0"/>
              <w:rPr>
                <w:sz w:val="20"/>
                <w:szCs w:val="20"/>
                <w:color w:val="auto"/>
              </w:rPr>
            </w:pPr>
            <w:r>
              <w:rPr>
                <w:rFonts w:ascii="Arial" w:cs="Arial" w:eastAsia="Arial" w:hAnsi="Arial"/>
                <w:sz w:val="12"/>
                <w:szCs w:val="12"/>
                <w:color w:val="auto"/>
              </w:rPr>
              <w:t>(2,810 )</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22,361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Stock–based compensation expense</w:t>
            </w:r>
          </w:p>
        </w:tc>
        <w:tc>
          <w:tcPr>
            <w:tcW w:w="10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14,929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w w:val="97"/>
              </w:rPr>
              <w:t>Issuance of common stock upon exercise of stock</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options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93,455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20" w:type="dxa"/>
            <w:vAlign w:val="bottom"/>
            <w:shd w:val="clear" w:color="auto" w:fill="CFF0FC"/>
          </w:tcPr>
          <w:p>
            <w:pPr>
              <w:ind w:left="20"/>
              <w:spacing w:after="0" w:line="119" w:lineRule="exact"/>
              <w:rPr>
                <w:sz w:val="20"/>
                <w:szCs w:val="20"/>
                <w:color w:val="auto"/>
              </w:rPr>
            </w:pPr>
            <w:r>
              <w:rPr>
                <w:rFonts w:ascii="Arial" w:cs="Arial" w:eastAsia="Arial" w:hAnsi="Arial"/>
                <w:sz w:val="12"/>
                <w:szCs w:val="12"/>
                <w:color w:val="auto"/>
                <w:w w:val="92"/>
              </w:rPr>
              <w:t>Issuance of common stock upon vesting of restricted</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 units</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473,883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(1 )</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rPr>
              <w:t>Payment of withholding taxes on net share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settlements of equity awards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(162,950 )</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(5,041 )</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(5,041 )</w:t>
            </w: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Conversion of common stock</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929,597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(929,597 )</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w w:val="99"/>
              </w:rPr>
              <w:t>(1 )</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rPr>
                <w:sz w:val="20"/>
                <w:szCs w:val="20"/>
                <w:color w:val="auto"/>
              </w:rPr>
            </w:pPr>
            <w:r>
              <w:rPr>
                <w:rFonts w:ascii="Arial" w:cs="Arial" w:eastAsia="Arial" w:hAnsi="Arial"/>
                <w:sz w:val="12"/>
                <w:szCs w:val="12"/>
                <w:color w:val="auto"/>
              </w:rPr>
              <w:t>Issuance of common stock upon for acquisition</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3,115,282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103,642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Acquisition of a 51% interest in CarOffer, LLC</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58,031</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(1,083 )</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(1,083 )</w:t>
            </w:r>
          </w:p>
        </w:tc>
        <w:tc>
          <w:tcPr>
            <w:tcW w:w="0" w:type="dxa"/>
            <w:vAlign w:val="bottom"/>
          </w:tcPr>
          <w:p>
            <w:pPr>
              <w:spacing w:after="0"/>
              <w:rPr>
                <w:sz w:val="1"/>
                <w:szCs w:val="1"/>
                <w:color w:val="auto"/>
              </w:rPr>
            </w:pPr>
          </w:p>
        </w:tc>
      </w:tr>
      <w:tr>
        <w:trPr>
          <w:trHeight w:val="109"/>
        </w:trPr>
        <w:tc>
          <w:tcPr>
            <w:tcW w:w="26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98,759,57</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color w:val="auto"/>
              </w:rPr>
              <w:t>Balance as of March 31, 2021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55,221</w:t>
            </w:r>
          </w:p>
        </w:tc>
        <w:tc>
          <w:tcPr>
            <w:tcW w:w="140" w:type="dxa"/>
            <w:vAlign w:val="bottom"/>
            <w:tcBorders>
              <w:bottom w:val="single" w:sz="8" w:color="CFF0FC"/>
              <w:right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18,146,903</w:t>
            </w:r>
          </w:p>
        </w:tc>
        <w:tc>
          <w:tcPr>
            <w:tcW w:w="20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18</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355,968</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151,773</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797</w:t>
            </w:r>
          </w:p>
        </w:tc>
        <w:tc>
          <w:tcPr>
            <w:tcW w:w="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508,655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2"/>
              <w:spacing w:after="0"/>
              <w:rPr>
                <w:sz w:val="20"/>
                <w:szCs w:val="20"/>
                <w:color w:val="auto"/>
              </w:rPr>
            </w:pPr>
            <w:r>
              <w:rPr>
                <w:rFonts w:ascii="Arial" w:cs="Arial" w:eastAsia="Arial" w:hAnsi="Arial"/>
                <w:sz w:val="12"/>
                <w:szCs w:val="12"/>
                <w:color w:val="auto"/>
              </w:rPr>
              <w:t>(656 )</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28,052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Stock–based compensation expense</w:t>
            </w:r>
          </w:p>
        </w:tc>
        <w:tc>
          <w:tcPr>
            <w:tcW w:w="10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w w:val="97"/>
              </w:rPr>
              <w:t>Issuance of common stock upon exercise of stock</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options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36,027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20" w:type="dxa"/>
            <w:vAlign w:val="bottom"/>
            <w:shd w:val="clear" w:color="auto" w:fill="CFF0FC"/>
          </w:tcPr>
          <w:p>
            <w:pPr>
              <w:ind w:left="20"/>
              <w:spacing w:after="0" w:line="119" w:lineRule="exact"/>
              <w:rPr>
                <w:sz w:val="20"/>
                <w:szCs w:val="20"/>
                <w:color w:val="auto"/>
              </w:rPr>
            </w:pPr>
            <w:r>
              <w:rPr>
                <w:rFonts w:ascii="Arial" w:cs="Arial" w:eastAsia="Arial" w:hAnsi="Arial"/>
                <w:sz w:val="12"/>
                <w:szCs w:val="12"/>
                <w:color w:val="auto"/>
                <w:w w:val="92"/>
              </w:rPr>
              <w:t>Issuance of common stock upon vesting of restricted</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 units</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391,468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Arial" w:cs="Arial" w:eastAsia="Arial" w:hAnsi="Arial"/>
                <w:sz w:val="12"/>
                <w:szCs w:val="12"/>
                <w:color w:val="auto"/>
              </w:rPr>
              <w:t>Payment of withholding taxes on net share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2"/>
                <w:szCs w:val="12"/>
                <w:color w:val="auto"/>
              </w:rPr>
              <w:t>settlements of equity awards</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(126,703 )</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(3,167 )</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(3,167 )</w:t>
            </w:r>
          </w:p>
        </w:tc>
        <w:tc>
          <w:tcPr>
            <w:tcW w:w="0" w:type="dxa"/>
            <w:vAlign w:val="bottom"/>
          </w:tcPr>
          <w:p>
            <w:pPr>
              <w:spacing w:after="0"/>
              <w:rPr>
                <w:sz w:val="1"/>
                <w:szCs w:val="1"/>
                <w:color w:val="auto"/>
              </w:rPr>
            </w:pPr>
          </w:p>
        </w:tc>
      </w:tr>
      <w:tr>
        <w:trPr>
          <w:trHeight w:val="152"/>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6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99,060,36</w:t>
            </w: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20" w:type="dxa"/>
            <w:vAlign w:val="bottom"/>
          </w:tcPr>
          <w:p>
            <w:pPr>
              <w:ind w:left="20"/>
              <w:spacing w:after="0" w:line="135" w:lineRule="exact"/>
              <w:rPr>
                <w:sz w:val="20"/>
                <w:szCs w:val="20"/>
                <w:color w:val="auto"/>
              </w:rPr>
            </w:pPr>
            <w:r>
              <w:rPr>
                <w:rFonts w:ascii="Arial" w:cs="Arial" w:eastAsia="Arial" w:hAnsi="Arial"/>
                <w:sz w:val="12"/>
                <w:szCs w:val="12"/>
                <w:color w:val="auto"/>
              </w:rPr>
              <w:t>Balance at June 30, 2021</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54,565</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w:t>
            </w:r>
          </w:p>
        </w:tc>
        <w:tc>
          <w:tcPr>
            <w:tcW w:w="220" w:type="dxa"/>
            <w:vAlign w:val="bottom"/>
          </w:tcPr>
          <w:p>
            <w:pPr>
              <w:spacing w:after="0"/>
              <w:rPr>
                <w:sz w:val="13"/>
                <w:szCs w:val="13"/>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18,146,903</w:t>
            </w:r>
          </w:p>
        </w:tc>
        <w:tc>
          <w:tcPr>
            <w:tcW w:w="200" w:type="dxa"/>
            <w:vAlign w:val="bottom"/>
          </w:tcPr>
          <w:p>
            <w:pPr>
              <w:spacing w:after="0"/>
              <w:rPr>
                <w:sz w:val="13"/>
                <w:szCs w:val="13"/>
                <w:color w:val="auto"/>
              </w:rPr>
            </w:pPr>
          </w:p>
        </w:tc>
        <w:tc>
          <w:tcPr>
            <w:tcW w:w="640" w:type="dxa"/>
            <w:vAlign w:val="bottom"/>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tcPr>
          <w:p>
            <w:pPr>
              <w:jc w:val="right"/>
              <w:spacing w:after="0"/>
              <w:rPr>
                <w:sz w:val="20"/>
                <w:szCs w:val="20"/>
                <w:color w:val="auto"/>
              </w:rPr>
            </w:pPr>
            <w:r>
              <w:rPr>
                <w:rFonts w:ascii="Arial" w:cs="Arial" w:eastAsia="Arial" w:hAnsi="Arial"/>
                <w:sz w:val="12"/>
                <w:szCs w:val="12"/>
                <w:color w:val="auto"/>
                <w:w w:val="89"/>
              </w:rPr>
              <w:t>18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368,194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179,825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1,045</w:t>
            </w:r>
          </w:p>
        </w:tc>
        <w:tc>
          <w:tcPr>
            <w:tcW w:w="2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549,181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-4068445</wp:posOffset>
            </wp:positionV>
            <wp:extent cx="768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-4068445</wp:posOffset>
            </wp:positionV>
            <wp:extent cx="768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-4068445</wp:posOffset>
            </wp:positionV>
            <wp:extent cx="7747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-4068445</wp:posOffset>
            </wp:positionV>
            <wp:extent cx="768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-4068445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-4068445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-4068445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-4068445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-4068445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-2562225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-2545080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-2562225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-2545080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-2562225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-2545080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-2562225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-2545080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-2562225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-2545080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-2562225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-2545080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-2562225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-2545080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-2562225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-2545080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-1007745</wp:posOffset>
            </wp:positionV>
            <wp:extent cx="768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-1007745</wp:posOffset>
            </wp:positionV>
            <wp:extent cx="768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-1007745</wp:posOffset>
            </wp:positionV>
            <wp:extent cx="774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-1007745</wp:posOffset>
            </wp:positionV>
            <wp:extent cx="768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-1007745</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-1007745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-1007745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-1007745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-1007745</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-201930</wp:posOffset>
            </wp:positionV>
            <wp:extent cx="768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-201930</wp:posOffset>
            </wp:positionV>
            <wp:extent cx="768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-201930</wp:posOffset>
            </wp:positionV>
            <wp:extent cx="7747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-201930</wp:posOffset>
            </wp:positionV>
            <wp:extent cx="768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-201930</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-201930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-201930</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-201930</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-201930</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ind w:left="8800"/>
        <w:spacing w:after="0" w:line="222" w:lineRule="auto"/>
        <w:rPr>
          <w:sz w:val="20"/>
          <w:szCs w:val="20"/>
          <w:color w:val="auto"/>
        </w:rPr>
      </w:pPr>
      <w:r>
        <w:rPr>
          <w:rFonts w:ascii="Arial" w:cs="Arial" w:eastAsia="Arial" w:hAnsi="Arial"/>
          <w:sz w:val="14"/>
          <w:szCs w:val="14"/>
          <w:b w:val="1"/>
          <w:bCs w:val="1"/>
          <w:color w:val="auto"/>
        </w:rPr>
        <w:t>Six Months Ended</w:t>
      </w:r>
    </w:p>
    <w:p>
      <w:pPr>
        <w:ind w:left="914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Consolidated net income</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36,899</w:t>
            </w:r>
          </w:p>
        </w:tc>
        <w:tc>
          <w:tcPr>
            <w:tcW w:w="3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46,947</w:t>
            </w:r>
          </w:p>
        </w:tc>
        <w:tc>
          <w:tcPr>
            <w:tcW w:w="100" w:type="dxa"/>
            <w:vAlign w:val="bottom"/>
          </w:tcPr>
          <w:p>
            <w:pPr>
              <w:spacing w:after="0"/>
              <w:rPr>
                <w:sz w:val="15"/>
                <w:szCs w:val="15"/>
                <w:color w:val="auto"/>
              </w:rPr>
            </w:pPr>
          </w:p>
        </w:tc>
      </w:tr>
      <w:tr>
        <w:trPr>
          <w:trHeight w:val="143"/>
        </w:trPr>
        <w:tc>
          <w:tcPr>
            <w:tcW w:w="76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Adjustments to reconcile consolidated net income to net cash provided</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6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by operating activities: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22,419</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18,831</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loss (gain) on foreign denominated transactions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(30 )</w:t>
            </w: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102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(23,464 )</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15"/>
                <w:szCs w:val="15"/>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doubtful accounts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699</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27,579</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28,747</w:t>
            </w:r>
          </w:p>
        </w:tc>
        <w:tc>
          <w:tcPr>
            <w:tcW w:w="100" w:type="dxa"/>
            <w:vAlign w:val="bottom"/>
          </w:tcPr>
          <w:p>
            <w:pPr>
              <w:spacing w:after="0"/>
              <w:rPr>
                <w:sz w:val="15"/>
                <w:szCs w:val="15"/>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deferred contract costs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5,564</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6,454</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(12,022 )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(47,982 )</w:t>
            </w: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102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(2,028 )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(2,533 )</w:t>
            </w: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prepaid income taxes, and other assets</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(10,434 )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(1,485 )</w:t>
            </w: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Deferred contract costs</w:t>
            </w:r>
          </w:p>
        </w:tc>
        <w:tc>
          <w:tcPr>
            <w:tcW w:w="102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(5,746 )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(5,098 )</w:t>
            </w: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8,168</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15,333</w:t>
            </w:r>
          </w:p>
        </w:tc>
        <w:tc>
          <w:tcPr>
            <w:tcW w:w="100" w:type="dxa"/>
            <w:vAlign w:val="bottom"/>
            <w:shd w:val="clear" w:color="auto" w:fill="CFF0FC"/>
          </w:tcPr>
          <w:p>
            <w:pPr>
              <w:spacing w:after="0"/>
              <w:rPr>
                <w:sz w:val="15"/>
                <w:szCs w:val="15"/>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Accrued expenses, accrued income taxes, and other liabilities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38,174</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15,580</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2,302</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3,989</w:t>
            </w:r>
          </w:p>
        </w:tc>
        <w:tc>
          <w:tcPr>
            <w:tcW w:w="100" w:type="dxa"/>
            <w:vAlign w:val="bottom"/>
            <w:shd w:val="clear" w:color="auto" w:fill="CFF0FC"/>
          </w:tcPr>
          <w:p>
            <w:pPr>
              <w:spacing w:after="0"/>
              <w:rPr>
                <w:sz w:val="15"/>
                <w:szCs w:val="15"/>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Lease obligations</w:t>
            </w:r>
          </w:p>
        </w:tc>
        <w:tc>
          <w:tcPr>
            <w:tcW w:w="102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(869 )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(204 )</w:t>
            </w:r>
          </w:p>
        </w:tc>
      </w:tr>
      <w:tr>
        <w:trPr>
          <w:trHeight w:val="16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87,595</w:t>
            </w:r>
          </w:p>
        </w:tc>
        <w:tc>
          <w:tcPr>
            <w:tcW w:w="3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81,335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(2,661 )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(4,672 )</w:t>
            </w: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Capitalization of website development costs</w:t>
            </w:r>
          </w:p>
        </w:tc>
        <w:tc>
          <w:tcPr>
            <w:tcW w:w="102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(5,502 )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(2,109 )</w:t>
            </w: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acquisitions, net of cash acquired</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(64,273 )</w:t>
            </w: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Investments in certificates of deposit</w:t>
            </w:r>
          </w:p>
        </w:tc>
        <w:tc>
          <w:tcPr>
            <w:tcW w:w="1020" w:type="dxa"/>
            <w:vAlign w:val="bottom"/>
          </w:tcPr>
          <w:p>
            <w:pPr>
              <w:spacing w:after="0"/>
              <w:rPr>
                <w:sz w:val="15"/>
                <w:szCs w:val="15"/>
                <w:color w:val="auto"/>
              </w:rPr>
            </w:pPr>
          </w:p>
        </w:tc>
        <w:tc>
          <w:tcPr>
            <w:tcW w:w="8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(45,000 )</w:t>
            </w: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Maturities of certificates of deposit</w:t>
            </w: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60,000</w:t>
            </w:r>
          </w:p>
        </w:tc>
        <w:tc>
          <w:tcPr>
            <w:tcW w:w="3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51,837</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(56,054 )</w:t>
            </w: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705</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finance lease obligations</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(35 )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(13 )</w:t>
            </w: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Payment of withholding taxes on net share settlement of equity awards</w:t>
            </w:r>
          </w:p>
        </w:tc>
        <w:tc>
          <w:tcPr>
            <w:tcW w:w="102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(11,260 )</w:t>
            </w:r>
          </w:p>
        </w:tc>
        <w:tc>
          <w:tcPr>
            <w:tcW w:w="3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(8,208 )</w:t>
            </w: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 of line of credit</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(14,250 )</w:t>
            </w: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Payment of tax distributions to redeemable noncontrolling interest holders</w:t>
            </w:r>
          </w:p>
        </w:tc>
        <w:tc>
          <w:tcPr>
            <w:tcW w:w="102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(12,691 )</w:t>
            </w:r>
          </w:p>
        </w:tc>
        <w:tc>
          <w:tcPr>
            <w:tcW w:w="38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Payments made to third party payment processor</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(2,363 )</w:t>
            </w:r>
          </w:p>
        </w:tc>
        <w:tc>
          <w:tcPr>
            <w:tcW w:w="3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6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2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(25,644 )</w:t>
            </w:r>
          </w:p>
        </w:tc>
        <w:tc>
          <w:tcPr>
            <w:tcW w:w="3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(22,073 )</w:t>
            </w: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Impact of foreign currency on cash, cash equivalents, and restricted cash</w:t>
            </w: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(912</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112,876</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3,073</w:t>
            </w:r>
          </w:p>
        </w:tc>
        <w:tc>
          <w:tcPr>
            <w:tcW w:w="100" w:type="dxa"/>
            <w:vAlign w:val="bottom"/>
          </w:tcPr>
          <w:p>
            <w:pPr>
              <w:spacing w:after="0"/>
              <w:rPr>
                <w:sz w:val="15"/>
                <w:szCs w:val="15"/>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248,280</w:t>
            </w:r>
          </w:p>
        </w:tc>
        <w:tc>
          <w:tcPr>
            <w:tcW w:w="3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200,926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361,156</w:t>
            </w:r>
          </w:p>
        </w:tc>
        <w:tc>
          <w:tcPr>
            <w:tcW w:w="300" w:type="dxa"/>
            <w:vAlign w:val="bottom"/>
          </w:tcPr>
          <w:p>
            <w:pPr>
              <w:spacing w:after="0"/>
              <w:rPr>
                <w:sz w:val="14"/>
                <w:szCs w:val="1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203,999</w:t>
            </w:r>
          </w:p>
        </w:tc>
        <w:tc>
          <w:tcPr>
            <w:tcW w:w="100" w:type="dxa"/>
            <w:vAlign w:val="bottom"/>
          </w:tcPr>
          <w:p>
            <w:pPr>
              <w:spacing w:after="0"/>
              <w:rPr>
                <w:sz w:val="14"/>
                <w:szCs w:val="14"/>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41,160</w:t>
            </w:r>
          </w:p>
        </w:tc>
        <w:tc>
          <w:tcPr>
            <w:tcW w:w="3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8,220</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operating lease liabilities</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9,220</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8,064</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Supplemental noncash disclosure of cash flow information:</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6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Unpaid purchases of property and equipment, capitalized website</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6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development, capitalized internal-use software and capitalized hosting</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6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arrangements</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FF0FC"/>
          </w:tcPr>
          <w:p>
            <w:pPr>
              <w:spacing w:after="0"/>
              <w:rPr>
                <w:sz w:val="15"/>
                <w:szCs w:val="15"/>
                <w:color w:val="auto"/>
              </w:rPr>
            </w:pPr>
          </w:p>
        </w:tc>
      </w:tr>
      <w:tr>
        <w:trPr>
          <w:trHeight w:val="143"/>
        </w:trPr>
        <w:tc>
          <w:tcPr>
            <w:tcW w:w="7640" w:type="dxa"/>
            <w:vAlign w:val="bottom"/>
          </w:tcPr>
          <w:p>
            <w:pPr>
              <w:ind w:left="20"/>
              <w:spacing w:after="0" w:line="143" w:lineRule="exact"/>
              <w:rPr>
                <w:sz w:val="20"/>
                <w:szCs w:val="20"/>
                <w:color w:val="auto"/>
              </w:rPr>
            </w:pPr>
            <w:r>
              <w:rPr>
                <w:rFonts w:ascii="Arial" w:cs="Arial" w:eastAsia="Arial" w:hAnsi="Arial"/>
                <w:sz w:val="14"/>
                <w:szCs w:val="14"/>
                <w:color w:val="auto"/>
              </w:rPr>
              <w:t>Capitalized stock-based compensation expense in website development and</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640" w:type="dxa"/>
            <w:vAlign w:val="bottom"/>
          </w:tcPr>
          <w:p>
            <w:pPr>
              <w:ind w:left="120"/>
              <w:spacing w:after="0"/>
              <w:rPr>
                <w:sz w:val="20"/>
                <w:szCs w:val="20"/>
                <w:color w:val="auto"/>
              </w:rPr>
            </w:pPr>
            <w:r>
              <w:rPr>
                <w:rFonts w:ascii="Arial" w:cs="Arial" w:eastAsia="Arial" w:hAnsi="Arial"/>
                <w:sz w:val="14"/>
                <w:szCs w:val="14"/>
                <w:color w:val="auto"/>
              </w:rPr>
              <w:t>internal-use software costs and hosting arrangements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2,471</w:t>
            </w:r>
          </w:p>
        </w:tc>
        <w:tc>
          <w:tcPr>
            <w:tcW w:w="3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Obtaining a right-of-use asset in exchange for a finance lease liability</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FF0FC"/>
          </w:tcPr>
          <w:p>
            <w:pPr>
              <w:spacing w:after="0"/>
              <w:rPr>
                <w:sz w:val="15"/>
                <w:szCs w:val="15"/>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Obtaining a right-of-use asset in exchange for an operating lease liability</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5,307</w:t>
            </w:r>
          </w:p>
        </w:tc>
        <w:tc>
          <w:tcPr>
            <w:tcW w:w="3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12,336</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stock for acquisition</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103,645</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Accretion of redeemable noncontrolling interest to redemption value</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111,620</w:t>
            </w:r>
          </w:p>
        </w:tc>
        <w:tc>
          <w:tcPr>
            <w:tcW w:w="3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tax distributions to redeemable noncontrolling interest holders</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-3699510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-3699510</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-3022600</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-3022600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-2113915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-2113915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-1651000</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-1651000</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CarGurus, Inc. (the “Company”)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operates principally in the United States. In the United States, it also operates as independent brands the Autolist online marketplace, which it wholly owns, and the CarOffer, LLC (“CarOffer”) digital wholesale marketplace, in which it has a 51% interest. In addition to the United States, the Company operates online marketplaces under the CarGurus brand in Canada and the United Kingdom. In the United Kingdom, it also operates as an independent brand the PistonHeads online marketplace, which it wholly owns.</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has subsidiaries in the United States, Canada, Ireland, and the United Kingdom and, prior to the first quarter of 2022, had two reportable segments – United States and International. Effective as of the first quarter of 2022, the Company revised its segment reporting from two reportable segments to one reportable segment. See Note 11 of the Unaudited Condensed Consolidated Financial Statements included elsewhere in this Quarterly Report for further segment reporting and geographical information.</w:t>
      </w:r>
    </w:p>
    <w:p>
      <w:pPr>
        <w:spacing w:after="0" w:line="319" w:lineRule="exact"/>
        <w:rPr>
          <w:sz w:val="20"/>
          <w:szCs w:val="20"/>
          <w:color w:val="auto"/>
        </w:rPr>
      </w:pPr>
    </w:p>
    <w:p>
      <w:pPr>
        <w:ind w:right="7680" w:firstLine="8"/>
        <w:spacing w:after="0" w:line="362"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8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June 30, 2022 and December 31, 2021, results of operations, comprehensive income, and changes in shareholders’ equity for the three and six months ended June 30, 2022 and 2021 and cash flows for the six months ended June 30, 2022 and 2021. These interim period results are not necessarily indicative of the results to be expected for any other interim period or the full year.</w:t>
      </w:r>
    </w:p>
    <w:p>
      <w:pPr>
        <w:spacing w:after="0" w:line="1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2021, filed with the SEC on February 25, 2022 (the “Annual Report”).</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While the Company disclosed total revenue in the Unaudited Condensed Consolidated Income Statements in the Company's Quarterly Report on Form 10-Q for the quarter ended June 30, 2021, filed with the SEC on August 5, 2021, the accompanying Unaudited Condensed Consolidated Income Statements for the three and six months ended June 30, 2021 presents revenues disaggregated into marketplace, wholesale, and product revenues to conform to the current year presentation, as a result of the acquisition of a 51% interest in CarOffer.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both"/>
        <w:ind w:firstLine="509"/>
        <w:spacing w:after="0" w:line="262" w:lineRule="auto"/>
        <w:rPr>
          <w:sz w:val="20"/>
          <w:szCs w:val="20"/>
          <w:color w:val="auto"/>
        </w:rPr>
      </w:pPr>
      <w:r>
        <w:rPr>
          <w:rFonts w:ascii="Arial" w:cs="Arial" w:eastAsia="Arial" w:hAnsi="Arial"/>
          <w:sz w:val="17"/>
          <w:szCs w:val="17"/>
          <w:color w:val="auto"/>
        </w:rPr>
        <w:t>While the Company disclosed inventory within prepaid expenses, prepaid income taxes, and other assets in the Unaudited Condensed Consolidated Statements of Cash Flow in the Company's Quarterly Report on Form 10-Q for the quarter ended June 30, 2021, filed with the SEC on August 5, 2021, the accompanying Unaudited Condensed Consolidated Statements of Cash Flow for the six months ended June 30, 2021 present inventory separately from prepaid expenses, prepaid income taxes, and other assets to conform to the current year presentation.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disclosed in Note 12 of these Unaudited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7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64"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7"/>
          <w:szCs w:val="17"/>
          <w:color w:val="auto"/>
        </w:rPr>
        <w:t>Critical estimates relied upon in preparing the Unaudited Condensed Consolidated Financial Statements include the determination of sales allowance and variable consideration in the Company’s revenue recognition, allowance for doubtful accounts, the expensing and capitalization of product, technology, and development costs related to website development, internal</w:t>
      </w:r>
      <w:r>
        <w:rPr>
          <w:rFonts w:ascii="MS PGothic" w:cs="MS PGothic" w:eastAsia="MS PGothic" w:hAnsi="MS PGothic"/>
          <w:sz w:val="17"/>
          <w:szCs w:val="17"/>
          <w:color w:val="auto"/>
        </w:rPr>
        <w:t>‑</w:t>
      </w:r>
      <w:r>
        <w:rPr>
          <w:rFonts w:ascii="Arial" w:cs="Arial" w:eastAsia="Arial" w:hAnsi="Arial"/>
          <w:sz w:val="17"/>
          <w:szCs w:val="17"/>
          <w:color w:val="auto"/>
        </w:rPr>
        <w:t xml:space="preserve">use software, and hosting arrangements, the valuation and recoverability of goodwill, intangible assets and other long-lived assets, the valuation of redeemable noncontrolling interest, the recoverability of the Company’s net deferred tax assets and related valuation allowance and the valuation of equity and liability-classified compensation awards under ASC Topic 718, </w:t>
      </w: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("ASC 718"). Accordingly, the Company considers these to be its critical accounting policies, and believes that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accounting policies, these policies involve the greatest degree of judgment and complexity.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04"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7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Company is exposed to credit losses primarily through its trade accounts receivable, which includes receivables in transit from a third-party payment processor. The third-party payment processor collects customer payments on the Company's behalf and remits them to the Company. Customer payments received, but not remitted as of period end are deemed to be receivables in transit. Additionally, the third-party payment processor provides payments in advance for certain selling dealers. If the third-party payment processor does not receive related buying dealer payments related to the transaction paid in advance, the Company would guarantee losses incurred by the third-party payment processor and the balance would be deducted from future remittances to the Company. To date losses associated with these guarantees have not been material. Payments received in advance are presented as cash flows from financing activities in the Unaudited Condensed Consolidated Statements of Cash Flows.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jc w:val="both"/>
        <w:ind w:firstLine="509"/>
        <w:spacing w:after="0" w:line="239" w:lineRule="auto"/>
        <w:rPr>
          <w:sz w:val="20"/>
          <w:szCs w:val="20"/>
          <w:color w:val="auto"/>
        </w:rPr>
      </w:pPr>
      <w:r>
        <w:rPr>
          <w:rFonts w:ascii="Arial" w:cs="Arial" w:eastAsia="Arial" w:hAnsi="Arial"/>
          <w:sz w:val="18"/>
          <w:szCs w:val="18"/>
          <w:color w:val="auto"/>
        </w:rPr>
        <w:t>The Company offsets gross trade accounts receivable with payments received in advance from a third-party payment processor as it has the right of offset. As of June 30, 2022, gross trade accounts receivable from receivables in transit from the third-party payment processor was $25,907, offset by payments received in advance totaling $44,460, which resulted in a net liability of $18,553 recognized within accrued expenses, accrued income taxes and other current liabilities in the Unaudited Condensed Consolidated Balance Sheets. As of December 31, 2021, gross trade accounts receivable from receivables in transit from the third-party payment processor was $18,747, offset by payments received in advance of $46,822, which resulted in a net liability of $28,075 recognized within accrued expenses, accrued income taxes and other current liabilities in the Unaudited Condensed Consolidated Balance Sheets.</w:t>
      </w:r>
    </w:p>
    <w:p>
      <w:pPr>
        <w:spacing w:after="0" w:line="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and does not require collateral. The Company generally has not experienced any material losses related to receivables from individual customers, or groups of customers. The majority of the Company's accounts receivable results from a third-party payment processor for wholesale revenue transactions. The Company has had no material losses related to wholesale receivables as it does not release the title until successfully collecting funds from the buying dealer. Due to these factors, no additional credit risk beyond amounts provided for collection losses is believed by management to be probable in the Company’s accounts receivable.</w:t>
      </w:r>
    </w:p>
    <w:p>
      <w:pPr>
        <w:spacing w:after="0" w:line="18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of June 30, 2022, one customer accounted for 42% of net accounts receivable. As of December 31, 2021, two customers accounted for 47% and 18% of net accounts receivable, respectively.</w:t>
      </w:r>
    </w:p>
    <w:p>
      <w:pPr>
        <w:spacing w:after="0" w:line="15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June 30, 2022 and December 31, 2021, $6,415 and $7,356, respectively, was included in net accounts receivable, representing unbilled accounts receivable relating primarily to advertising customers invoiced in the subsequent period to services rendered.</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June 30, 2022, two customers each accounted for 11% of total revenue due to continued growth of the CarOffer business. For the six months ended June 30, 2022 and for the three and six months ended June 30, 2021, no individual customer accounted for more than 10% of total revenue.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0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Unaudited Condensed Consolidated Financial Statements reflect the application of certain significant accounting policies as described below and elsewhere in these notes to the Unaudited Condensed Consolidated Financial Statements. As of June 30, 2022, there have been no material changes in the Company’s significant accounting policies, which are detailed in the Annual Report, other than as described below.</w:t>
      </w:r>
    </w:p>
    <w:p>
      <w:pPr>
        <w:spacing w:after="0" w:line="56"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During the three months ended June 30, 2022, the Company refined its model for determining the fair value of liability-classified awards as a result of obtaining gross profit actuals through the trailing twelve-month ended June 30, 2022 measuring period. For liability-classified awards, the fair value is now determined on the date of issuance using a Monte Carlo simulation model, instead of using the previous Least Square Monte Carlo simulation model. The determination of the fair value is affected by CarOffer’s equity value, EBITDA, Excess Parent Capital (as defined in the CarOffer Operating Agreement),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June 30, 2022, there are no new material accounting pronouncements that the Company is considering adopting.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16" w:lineRule="exact"/>
        <w:rPr>
          <w:sz w:val="20"/>
          <w:szCs w:val="20"/>
          <w:color w:val="auto"/>
        </w:rPr>
      </w:pPr>
    </w:p>
    <w:p>
      <w:pPr>
        <w:jc w:val="both"/>
        <w:ind w:firstLine="509"/>
        <w:spacing w:after="0" w:line="248" w:lineRule="auto"/>
        <w:rPr>
          <w:rFonts w:ascii="Arial" w:cs="Arial" w:eastAsia="Arial" w:hAnsi="Arial"/>
          <w:sz w:val="18"/>
          <w:szCs w:val="18"/>
          <w:color w:val="auto"/>
        </w:rPr>
      </w:pPr>
      <w:hyperlink w:anchor="page6">
        <w:r>
          <w:rPr>
            <w:rFonts w:ascii="Arial" w:cs="Arial" w:eastAsia="Arial" w:hAnsi="Arial"/>
            <w:sz w:val="18"/>
            <w:szCs w:val="18"/>
            <w:color w:val="auto"/>
          </w:rPr>
          <w:t>The Company provides disaggregation of revenue based on marketplace, wholesale and product revenue classification on the face of its Unaudited</w:t>
        </w:r>
      </w:hyperlink>
      <w:r>
        <w:rPr>
          <w:rFonts w:ascii="Arial" w:cs="Arial" w:eastAsia="Arial" w:hAnsi="Arial"/>
          <w:sz w:val="18"/>
          <w:szCs w:val="18"/>
          <w:color w:val="auto"/>
        </w:rPr>
        <w:t xml:space="preserve"> </w:t>
      </w:r>
      <w:hyperlink w:anchor="page6">
        <w:r>
          <w:rPr>
            <w:rFonts w:ascii="Arial" w:cs="Arial" w:eastAsia="Arial" w:hAnsi="Arial"/>
            <w:sz w:val="18"/>
            <w:szCs w:val="18"/>
            <w:color w:val="auto"/>
          </w:rPr>
          <w:t>Condensed Consolidated Income Statements and based on geographic region (see Note 11). The Company believes these categories best depict how the</w:t>
        </w:r>
      </w:hyperlink>
      <w:r>
        <w:rPr>
          <w:rFonts w:ascii="Arial" w:cs="Arial" w:eastAsia="Arial" w:hAnsi="Arial"/>
          <w:sz w:val="18"/>
          <w:szCs w:val="18"/>
          <w:color w:val="auto"/>
        </w:rPr>
        <w:t xml:space="preserve"> nature, amount, timing and uncertainty of revenue and cash flows are affected by economic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6653530</wp:posOffset>
            </wp:positionH>
            <wp:positionV relativeFrom="paragraph">
              <wp:posOffset>-286385</wp:posOffset>
            </wp:positionV>
            <wp:extent cx="4756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5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2065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6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requires that the Company disclose the aggregate amount of transaction price that is allocated to performance obligations that have not yet been satisfied as of the relevant quarter end.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jc w:val="both"/>
        <w:ind w:firstLine="509"/>
        <w:spacing w:after="0" w:line="324" w:lineRule="auto"/>
        <w:rPr>
          <w:sz w:val="20"/>
          <w:szCs w:val="20"/>
          <w:color w:val="auto"/>
        </w:rPr>
      </w:pPr>
      <w:r>
        <w:rPr>
          <w:rFonts w:ascii="Arial" w:cs="Arial" w:eastAsia="Arial" w:hAnsi="Arial"/>
          <w:sz w:val="16"/>
          <w:szCs w:val="16"/>
          <w:color w:val="auto"/>
        </w:rPr>
        <w:t>For contracts with an original expected duration greater than one year, the aggregate amount of the transaction price allocated to the performance obligations that were unsatisfied as of June 30, 2022 was approximately $13.2 million, which the Company expects to recognize over the next 12 months.</w:t>
      </w:r>
    </w:p>
    <w:p>
      <w:pPr>
        <w:spacing w:after="0" w:line="12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 contracts with an original expected duration of one year or less, the Company has applied the practical expedient available under ASC 606 to not disclose the amount of transaction price allocated to unsatisfied performance obligations as of June 30, 2022. For performance obligations not satisfied as of June 30, 2022, and to which this expedient applies, the nature of the performance obligations, the variable consideration and any consideration from contracts with customers not included in the transaction price is consistent with performance obligations satisfied as of June 30, 2022.</w:t>
      </w:r>
    </w:p>
    <w:p>
      <w:pPr>
        <w:spacing w:after="0" w:line="15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three months ended June 30, 2022 and 2021 and for the six months ended June 30, 2022 and 2021, revenue recognized from amounts included in deferred revenue at the beginning of the period, was $12,776, $11,986, $12,784, and $9,137,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Including Cash, Cash Equivalents, and Investments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and December 31, 2021, assets measured at fair value on a recurring basis consist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right="99"/>
              <w:spacing w:after="0"/>
              <w:rPr>
                <w:sz w:val="20"/>
                <w:szCs w:val="20"/>
                <w:color w:val="auto"/>
              </w:rPr>
            </w:pPr>
            <w:r>
              <w:rPr>
                <w:rFonts w:ascii="Arial" w:cs="Arial" w:eastAsia="Arial" w:hAnsi="Arial"/>
                <w:sz w:val="14"/>
                <w:szCs w:val="14"/>
                <w:b w:val="1"/>
                <w:bCs w:val="1"/>
                <w:color w:val="auto"/>
                <w:w w:val="90"/>
              </w:rPr>
              <w:t>As of June 30, 2022</w:t>
            </w: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4"/>
              </w:rPr>
              <w:t>Significant</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(Level 2 Inputs)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(Level 3 Inputs)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227,709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ind w:left="1440"/>
              <w:spacing w:after="0" w:line="202" w:lineRule="exact"/>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227,709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144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227,709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ind w:left="144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257,709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right="99"/>
              <w:spacing w:after="0"/>
              <w:rPr>
                <w:sz w:val="20"/>
                <w:szCs w:val="20"/>
                <w:color w:val="auto"/>
              </w:rPr>
            </w:pPr>
            <w:r>
              <w:rPr>
                <w:rFonts w:ascii="Arial" w:cs="Arial" w:eastAsia="Arial" w:hAnsi="Arial"/>
                <w:sz w:val="14"/>
                <w:szCs w:val="14"/>
                <w:b w:val="1"/>
                <w:bCs w:val="1"/>
                <w:color w:val="auto"/>
                <w:w w:val="90"/>
              </w:rPr>
              <w:t>As of December 31, 2021</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Significant Other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(Level 2 Inputs)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157,525</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ind w:left="1440"/>
              <w:spacing w:after="0" w:line="202" w:lineRule="exact"/>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157,525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90,000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144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157,525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ind w:left="144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247,525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-1353820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-1336675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-1353820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-1336675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-1353820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-1336675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-1353820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-1336675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During the six months ended June 30, 2022 and year ended December 31, 2021, the Company did not elect to remeasure any of its existing financial assets and liabilities and did not elect the fair value option for any financial assets transacted.</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 Investments are carried at cost, which approximates their fair market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As of June 30, 2022 and December 31, 2021, investments consist of the following: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June 30, 2022</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42"/>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 due in one year or less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80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760"/>
              <w:spacing w:after="0" w:line="202" w:lineRule="exact"/>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42"/>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 due in one year or less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90,000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80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760"/>
              <w:spacing w:after="0" w:line="202" w:lineRule="exact"/>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-1002030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-985520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-1002030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-985520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-1002030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-985520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-1002030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and December 31, 2021, property and equipment, net consist of the following:</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96"/>
        </w:trPr>
        <w:tc>
          <w:tcPr>
            <w:tcW w:w="6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Server and computer equipment</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8,142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8,349</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w:t>
            </w: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5,079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3,041</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Capitalized website development</w:t>
            </w: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29,229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22,037</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8,606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8,615</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24,067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24,082</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854</w:t>
            </w:r>
          </w:p>
        </w:tc>
        <w:tc>
          <w:tcPr>
            <w:tcW w:w="100" w:type="dxa"/>
            <w:vAlign w:val="bottom"/>
          </w:tcPr>
          <w:p>
            <w:pPr>
              <w:spacing w:after="0"/>
              <w:rPr>
                <w:sz w:val="17"/>
                <w:szCs w:val="17"/>
                <w:color w:val="auto"/>
              </w:rPr>
            </w:pPr>
          </w:p>
        </w:tc>
      </w:tr>
      <w:tr>
        <w:trPr>
          <w:trHeight w:val="203"/>
        </w:trPr>
        <w:tc>
          <w:tcPr>
            <w:tcW w:w="6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Finance lease right-of-use assets</w:t>
            </w:r>
          </w:p>
        </w:tc>
        <w:tc>
          <w:tcPr>
            <w:tcW w:w="3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487</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77,167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67,534</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(41,824 )</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(35,324 )</w:t>
            </w:r>
          </w:p>
        </w:tc>
      </w:tr>
      <w:tr>
        <w:trPr>
          <w:trHeight w:val="196"/>
        </w:trPr>
        <w:tc>
          <w:tcPr>
            <w:tcW w:w="656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35,343</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32,210</w:t>
            </w:r>
          </w:p>
        </w:tc>
        <w:tc>
          <w:tcPr>
            <w:tcW w:w="100" w:type="dxa"/>
            <w:vAlign w:val="bottom"/>
            <w:tcBorders>
              <w:top w:val="single" w:sz="8" w:color="CFF0FC"/>
            </w:tcBorders>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-424815</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-424815</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-159385</wp:posOffset>
            </wp:positionV>
            <wp:extent cx="603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For the three months ended June 30, 2022 and 2021 and for the six months ended June 30, 2022 and 2021, depreciation and amortization expense, excluding amortization of intangible assets and amortization of capitalized hosting arrangements, was $3,562, $2,293, $7,042 and $4,313, respectively.</w:t>
      </w:r>
    </w:p>
    <w:p>
      <w:pPr>
        <w:spacing w:after="0" w:line="12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During the six months ended June 30, 2022, capitalized website development increased $7,192 due to continued investment in the Company's product offerings.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Accrued Income Taxes and Other Current Liabilities and Other Non-Current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2022 and December 31, 2021, accrued expenses, accrued income taxes and other current liabilities consist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ind w:right="216"/>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bonus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9,927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11,777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Accrued tax distributions to redeemable noncontrolling interest holders</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3,638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8,701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Payments received in advance from third-party payment processor</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18,553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28,075</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Reserve for returns and cancellations</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13,295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accrued expenses and other current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28,978</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27,779</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82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74,391</w:t>
            </w:r>
          </w:p>
        </w:tc>
        <w:tc>
          <w:tcPr>
            <w:tcW w:w="4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78,586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20" w:type="dxa"/>
            <w:vAlign w:val="bottom"/>
            <w:vMerge w:val="restart"/>
          </w:tcPr>
          <w:p>
            <w:pPr>
              <w:ind w:left="496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6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-639445</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jc w:val="both"/>
        <w:ind w:firstLine="509"/>
        <w:spacing w:after="0" w:line="261" w:lineRule="auto"/>
        <w:rPr>
          <w:sz w:val="20"/>
          <w:szCs w:val="20"/>
          <w:color w:val="auto"/>
        </w:rPr>
      </w:pPr>
      <w:r>
        <w:rPr>
          <w:rFonts w:ascii="Arial" w:cs="Arial" w:eastAsia="Arial" w:hAnsi="Arial"/>
          <w:sz w:val="18"/>
          <w:szCs w:val="18"/>
          <w:color w:val="auto"/>
        </w:rPr>
        <w:t>The decrease of $9,522 in the payments received in advance from third-party payment processors is due to the timing of payments remitted by the third-party.</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increase of $11,041 in the reserve for returns and cancellations is primarily due to increased wholesale and product sales volume. Upon recognizing a sales transaction, the Company estimates the amount of transaction price that will be reversed in a subsequent period and records a reserve for returns and cancellations. Actual returns and cancellations are recorded against this returns reserve as incurred.</w:t>
      </w:r>
    </w:p>
    <w:p>
      <w:pPr>
        <w:spacing w:after="0" w:line="18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decrease of $5,063 in accrued tax distributions to redeemable noncontrolling interest holders is primarily due to cash settlement of the balance as of December 31, 2021 during the six months ended June 30, 2022, offset by the accrual for tax distributions to noncontrolling interest holders for the estimated tax liability on their respective taxable income earned as of June 30, 2022.</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and December 31, 2021, other non-current liabilities consist of the following:</w:t>
      </w:r>
    </w:p>
    <w:p>
      <w:pPr>
        <w:spacing w:after="0" w:line="19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140" w:type="dxa"/>
            <w:vAlign w:val="bottom"/>
          </w:tcPr>
          <w:p>
            <w:pPr>
              <w:jc w:val="center"/>
              <w:ind w:left="461"/>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r>
      <w:tr>
        <w:trPr>
          <w:trHeight w:val="148"/>
        </w:trPr>
        <w:tc>
          <w:tcPr>
            <w:tcW w:w="6560" w:type="dxa"/>
            <w:vAlign w:val="bottom"/>
          </w:tcPr>
          <w:p>
            <w:pPr>
              <w:spacing w:after="0"/>
              <w:rPr>
                <w:sz w:val="12"/>
                <w:szCs w:val="12"/>
                <w:color w:val="auto"/>
              </w:rPr>
            </w:pPr>
          </w:p>
        </w:tc>
        <w:tc>
          <w:tcPr>
            <w:tcW w:w="114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85"/>
        </w:trPr>
        <w:tc>
          <w:tcPr>
            <w:tcW w:w="6560" w:type="dxa"/>
            <w:vAlign w:val="bottom"/>
          </w:tcPr>
          <w:p>
            <w:pPr>
              <w:spacing w:after="0"/>
              <w:rPr>
                <w:sz w:val="16"/>
                <w:szCs w:val="16"/>
                <w:color w:val="auto"/>
              </w:rPr>
            </w:pPr>
          </w:p>
        </w:tc>
        <w:tc>
          <w:tcPr>
            <w:tcW w:w="114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89"/>
              </w:rPr>
              <w:t>2022</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96"/>
        </w:trPr>
        <w:tc>
          <w:tcPr>
            <w:tcW w:w="6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 Incentive Unit and Subject Unit liability-classified awards</w:t>
            </w:r>
          </w:p>
        </w:tc>
        <w:tc>
          <w:tcPr>
            <w:tcW w:w="1140" w:type="dxa"/>
            <w:vAlign w:val="bottom"/>
            <w:shd w:val="clear" w:color="auto" w:fill="CFF0FC"/>
          </w:tcPr>
          <w:p>
            <w:pPr>
              <w:jc w:val="right"/>
              <w:ind w:right="961"/>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47,815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21,095</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3,436</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2,544</w:t>
            </w:r>
          </w:p>
        </w:tc>
        <w:tc>
          <w:tcPr>
            <w:tcW w:w="100" w:type="dxa"/>
            <w:vAlign w:val="bottom"/>
          </w:tcPr>
          <w:p>
            <w:pPr>
              <w:spacing w:after="0"/>
              <w:rPr>
                <w:sz w:val="17"/>
                <w:szCs w:val="17"/>
                <w:color w:val="auto"/>
              </w:rPr>
            </w:pPr>
          </w:p>
        </w:tc>
      </w:tr>
      <w:tr>
        <w:trPr>
          <w:trHeight w:val="236"/>
        </w:trPr>
        <w:tc>
          <w:tcPr>
            <w:tcW w:w="65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ind w:right="961"/>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51,251</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23,639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connection with the Company's acquisition of a 51% interest in CarOffer, the then-outstanding unvested incentive units ("CO Incentive Units") of CarOffer and unvested Class CO CarOffer units (the "Subject Units") remained outstanding. The increase of $26,720 related to CO Incentive Unit and Subject Unit liability-classified awards is due to the mark to market valuation and the continued recognition over the vesting period.</w:t>
      </w:r>
    </w:p>
    <w:p>
      <w:pPr>
        <w:spacing w:after="0" w:line="349" w:lineRule="exact"/>
        <w:rPr>
          <w:sz w:val="20"/>
          <w:szCs w:val="20"/>
          <w:color w:val="auto"/>
        </w:rPr>
      </w:pPr>
    </w:p>
    <w:p>
      <w:pPr>
        <w:ind w:right="8120" w:firstLine="8"/>
        <w:spacing w:after="0" w:line="407"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Contractual Obligations and Commitments</w:t>
      </w:r>
    </w:p>
    <w:p>
      <w:pPr>
        <w:spacing w:after="0" w:line="1"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As of June 30, 2022, all of the Company’s property, equipment, and externally sourced internal-use software have been purchased with cash with the exception of amounts related to unpaid property and equipment, capitalized website development, capitalized internal-use software and capitalized hosting</w:t>
      </w:r>
    </w:p>
    <w:p>
      <w:pPr>
        <w:spacing w:after="0"/>
        <w:rPr>
          <w:sz w:val="20"/>
          <w:szCs w:val="20"/>
          <w:color w:val="auto"/>
        </w:rPr>
      </w:pPr>
      <w:r>
        <w:rPr>
          <w:rFonts w:ascii="Arial" w:cs="Arial" w:eastAsia="Arial" w:hAnsi="Arial"/>
          <w:sz w:val="16"/>
          <w:szCs w:val="16"/>
          <w:color w:val="auto"/>
        </w:rPr>
        <w:t>arrangements and amounts related to obligations under finance leases as disclosed in the Unaudited Condensed Consolidated Statements of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long-term purchase obligations outstanding with any vendor or third party.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primary operating lease obligations consist of various leases for office space in: Boston, Massachusetts; Cambridge, Massachusetts; San Francisco, California; Addison, Texas; and Dublin, Ireland. The Company also has an operating lease obligation for data center space in Needham, Massachusetts.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there were no material changes in the Company’s leases from those disclosed in the Annual Report.</w:t>
      </w:r>
    </w:p>
    <w:p>
      <w:pPr>
        <w:spacing w:after="0" w:line="212"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7"/>
          <w:szCs w:val="17"/>
          <w:color w:val="auto"/>
        </w:rPr>
        <w:t>The Company’s leases in Boston, Massachusetts, Cambridge, Massachusetts and San Francisco, California have associated letters of credit, which are recognized within restricted cash in the Unaudited Condensed Consolidated Balance Sheet. As of June 30, 2022 and December 31, 2021, restricted cash was $22,918 and $16,336,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and pass-through payments from customers related to the Company’s wholesale business. As of June 30, 2022 and December 31, 2021,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term asset, as disclosed on the Unaudited Condensed Consolidated Balance Sheet.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Acquisitions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January 14, 2021 the Company completed the acquisition of a 51% interest in CarOffer, an automated instant vehicle trade platform based in Addison, Texas, with the option to acquire portions of the remaining equity in the future. Details of this acquisition are more fully described in Note 4 to the financial statements contained within the Annual Report. On May 6, 2022, the CarOffer Operating Agreement (as defined in Note 4 to the financial statements contained within the Annual Report) was amended with retroactive effect to correct a clerical error in connection with the November 23, 2021 amendment and restatement of the CarOffer Operating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the ordinary course of business, the Company enters into agreements with its customers, partners and service providers that include commercial provisions with respect to licensing, infringement, guarantees, indemnification, and other common provisions.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CarOffer provides certain guarantees to dealers through its 45-Day Guaranteed Bid and OfferGuard product offerings, which are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45-Day Guaranteed Bid is an arrangement through which a selling dealer lists a car on the CarOffer platform, and CarOffer provides an offer to purchase the vehicle listed at a specified price at any time over a 45-day period. This provides the seller with a put option, where they have the right, but not the obligation, to require CarOffer to purchase the vehicle during this window. OfferGuard is an arrangement through which a buying dealer purchases a car on the CarOffer platform, and CarOffer provides an offer to purchase the vehicle at a specified price between days 1 and 3, and days 42 and 45 if the dealer is not able to sell the vehicle after 42 days.</w:t>
      </w:r>
    </w:p>
    <w:p>
      <w:pPr>
        <w:spacing w:after="0" w:line="189" w:lineRule="exact"/>
        <w:rPr>
          <w:sz w:val="20"/>
          <w:szCs w:val="20"/>
          <w:color w:val="auto"/>
        </w:rPr>
      </w:pPr>
    </w:p>
    <w:p>
      <w:pPr>
        <w:jc w:val="both"/>
        <w:ind w:firstLine="509"/>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w:t>
      </w:r>
      <w:hyperlink w:anchor="page6">
        <w:r>
          <w:rPr>
            <w:rFonts w:ascii="Arial" w:cs="Arial" w:eastAsia="Arial" w:hAnsi="Arial"/>
            <w:sz w:val="17"/>
            <w:szCs w:val="17"/>
            <w:color w:val="auto"/>
          </w:rPr>
          <w:t xml:space="preserve">Unaudited Condensed Consolidated Income Statements. </w:t>
        </w:r>
      </w:hyperlink>
      <w:r>
        <w:rPr>
          <w:rFonts w:ascii="Arial" w:cs="Arial" w:eastAsia="Arial" w:hAnsi="Arial"/>
          <w:sz w:val="17"/>
          <w:szCs w:val="17"/>
          <w:color w:val="auto"/>
        </w:rPr>
        <w:t>When it is probable and reasonably estimable that CarOffer will incur a loss on a vehicle that it is required to purchase, a liability, and a corresponding charge to cost of sales is recognized for the amount of the loss in the Unaudited Condensed Consolidated Balance Sheets. Gains and losses resulting from the dealers exercise of guarantees are recognized within cost of sales in the Unaudited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-415925</wp:posOffset>
            </wp:positionV>
            <wp:extent cx="25622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225" cy="8890"/>
                    </a:xfrm>
                    <a:prstGeom prst="rect">
                      <a:avLst/>
                    </a:prstGeom>
                    <a:noFill/>
                  </pic:spPr>
                </pic:pic>
              </a:graphicData>
            </a:graphic>
          </wp:anchor>
        </w:drawing>
      </w:r>
    </w:p>
    <w:p>
      <w:pPr>
        <w:spacing w:after="0" w:line="16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June 30, 2022 and 2021 and for the six months ended June 30, 2022 and 2021, income for guarantees purchased by dealers was $2,292, $1,628, $5,595, and $2,275, respectively. For the three months ended June 30, 2022 and 2021 and for the six months ended June 30, 2022 and 2021, the net loss or gain resulting from the dealer's exercise of guarantees was immaterial.</w:t>
      </w:r>
    </w:p>
    <w:p>
      <w:pPr>
        <w:spacing w:after="0" w:line="182"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of June 30, 2022, the maximum potential amount of future payments that CarOffer could be required to make under these guarantees was $100,746. Of the maximum potential amount of future payments, none are considered probable. The exercise of guarantees has historically been infrequent and even when such exercises did occur the losses were immaterial. As such, as of June 30, 2022, CarOffer had no contingent loss liabilities.</w:t>
      </w:r>
    </w:p>
    <w:p>
      <w:pPr>
        <w:spacing w:after="0" w:line="14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of December 31, 2021, the maximum potential amount of future payments that CarOffer could be required to make under these guarantees was $76,075. Of the maximum potential amount of future payments, none are considered probable. The exercise of guarantees has historically been infrequent and even when such exercises did occur, the losses were immaterial. As such, as of December 31, 2021, CarOffer had no contingent loss liabilities.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Stock-based Compensation</w:t>
      </w:r>
    </w:p>
    <w:p>
      <w:pPr>
        <w:spacing w:after="0" w:line="108"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For the three months ended June 30, 2022 and 2021 and for the six months ended June 30, 2022 and 2021, stock compensation expense by award type and where the stock compensation expense was recognized in the Company’s Unaudited Condensed Consolidated Income Statements is as follows: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r>
      <w:tr>
        <w:trPr>
          <w:trHeight w:val="185"/>
        </w:trPr>
        <w:tc>
          <w:tcPr>
            <w:tcW w:w="5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w:t>
            </w:r>
          </w:p>
        </w:tc>
        <w:tc>
          <w:tcPr>
            <w:tcW w:w="2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1,252</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12,786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26,289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27,687</w:t>
            </w:r>
          </w:p>
        </w:tc>
        <w:tc>
          <w:tcPr>
            <w:tcW w:w="100" w:type="dxa"/>
            <w:vAlign w:val="bottom"/>
          </w:tcPr>
          <w:p>
            <w:pPr>
              <w:spacing w:after="0"/>
              <w:rPr>
                <w:sz w:val="17"/>
                <w:szCs w:val="17"/>
                <w:color w:val="auto"/>
              </w:rPr>
            </w:pPr>
          </w:p>
        </w:tc>
      </w:tr>
      <w:tr>
        <w:trPr>
          <w:trHeight w:val="203"/>
        </w:trPr>
        <w:tc>
          <w:tcPr>
            <w:tcW w:w="5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 Incentive Units and Subject Units</w:t>
            </w: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13,025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7,961</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26,720</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2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26,457</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22,540</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54,299</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37,933</w:t>
            </w:r>
          </w:p>
        </w:tc>
        <w:tc>
          <w:tcPr>
            <w:tcW w:w="10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24"/>
                <w:szCs w:val="24"/>
                <w:color w:val="auto"/>
              </w:rPr>
            </w:pPr>
          </w:p>
        </w:tc>
      </w:t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4,086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3,571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8,069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6,323</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technology, and development expense</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6,230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12,519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12,002</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16,151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12,630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33,506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19,407</w:t>
            </w:r>
          </w:p>
        </w:tc>
        <w:tc>
          <w:tcPr>
            <w:tcW w:w="100" w:type="dxa"/>
            <w:vAlign w:val="bottom"/>
          </w:tcPr>
          <w:p>
            <w:pPr>
              <w:spacing w:after="0"/>
              <w:rPr>
                <w:sz w:val="17"/>
                <w:szCs w:val="17"/>
                <w:color w:val="auto"/>
              </w:rPr>
            </w:pPr>
          </w:p>
        </w:tc>
      </w:tr>
      <w:tr>
        <w:trPr>
          <w:trHeight w:val="236"/>
        </w:trPr>
        <w:tc>
          <w:tcPr>
            <w:tcW w:w="51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26,457</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22,540</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54,299</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-1325245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-1325245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-1325245</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-1325245</wp:posOffset>
            </wp:positionV>
            <wp:extent cx="603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June 30, 2022 and 2021 and for the six months ended June 30, 2022 and 2021, excluded from stock-based compensation expense is $1,265, $866, $2,471, and $1,435 of capitalized website development costs, capitalized internal-use software costs and capitalized hosting arrangements, respectively.</w:t>
      </w:r>
    </w:p>
    <w:p>
      <w:pPr>
        <w:spacing w:after="0" w:line="24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During the three months ended June 30, 2022 and 2021 and the six months ended June 30, 2022 and 2021, the Company withheld 147,533, 126,703, 303,269, and 289,653 shares of Class A common stock, respectively, to satisfy employee tax withholding requirements for net share settlements of equity awards. The shares withheld return to the authorized, but unissued pool under the Company's Omnibus Incentive Compensation Plan and can be reissued by the Company. For the three months ended June 30, 2022 and 2021 and for the six months ended June 30, 2022 and 2021, total payments to satisfy employee tax withholding requirements and for option exercise costs due to net share settlements and cashless exercises of options were $5,830, $3,167, $11,260, and $8,208, respectively, and are reflected as a financing activity in the Unaudited Condensed Consolidated Statements of Cash Flows.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08"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diluted net income per share of Class A common stock and per share of Class B common stock are equivalent.</w:t>
      </w:r>
    </w:p>
    <w:p>
      <w:pPr>
        <w:spacing w:after="0" w:line="22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three months ended June 30, 2022 and 2021 and during the six months ended June 30, 2022, no shares of Class B common stock were converted to Class A common stock. During the six months ended June 30, 2021, holders of Class B common stock converted 929,597 shares of Class B common stock to Class A common stock.</w:t>
      </w:r>
    </w:p>
    <w:p>
      <w:pPr>
        <w:spacing w:after="0" w:line="18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Basic net income per share (“Basic EPS”) is computed by dividing consolidated net income adjusted for net loss attributable to the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jc w:val="both"/>
        <w:ind w:firstLine="509"/>
        <w:spacing w:after="0" w:line="253" w:lineRule="auto"/>
        <w:rPr>
          <w:sz w:val="20"/>
          <w:szCs w:val="20"/>
          <w:color w:val="auto"/>
        </w:rPr>
      </w:pPr>
      <w:r>
        <w:rPr>
          <w:rFonts w:ascii="Arial" w:cs="Arial" w:eastAsia="Arial" w:hAnsi="Arial"/>
          <w:sz w:val="17"/>
          <w:szCs w:val="17"/>
          <w:color w:val="auto"/>
        </w:rPr>
        <w:t>Diluted net income per share (“Diluted EPS”) gives effect to all potentially dilutive securities. Diluted EPS is computed by dividing consolidated net income adjusted for net loss attributable to the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(as defined in Note 4 to the financial statements contained within the Annual Report), inclusive of CarOffer noncontrolling interest and incentive units, that would be issuable as of the end of the reporting period assuming the end of the reporting period was also the end of the contingency period.</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For the three and six months ended June 30, 2022 and 2021, a reconciliation of the numerator and denominator used in the calculation of basic and diluted net income per share is as follows:</w:t>
      </w:r>
    </w:p>
    <w:tbl>
      <w:tblPr>
        <w:tblLayout w:type="fixed"/>
        <w:tblInd w:w="580" w:type="dxa"/>
        <w:tblCellMar>
          <w:top w:w="0" w:type="dxa"/>
          <w:left w:w="0" w:type="dxa"/>
          <w:bottom w:w="0" w:type="dxa"/>
          <w:right w:w="0" w:type="dxa"/>
        </w:tblCellMar>
      </w:tblPr>
      <w:tr>
        <w:trPr>
          <w:trHeight w:val="133"/>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5"/>
          </w:tcPr>
          <w:p>
            <w:pPr>
              <w:jc w:val="right"/>
              <w:ind w:right="820"/>
              <w:spacing w:after="0" w:line="133"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1"/>
                <w:szCs w:val="11"/>
                <w:color w:val="auto"/>
              </w:rPr>
            </w:pPr>
          </w:p>
        </w:tc>
        <w:tc>
          <w:tcPr>
            <w:tcW w:w="2380" w:type="dxa"/>
            <w:vAlign w:val="bottom"/>
            <w:gridSpan w:val="5"/>
          </w:tcPr>
          <w:p>
            <w:pPr>
              <w:jc w:val="right"/>
              <w:ind w:right="780"/>
              <w:spacing w:after="0" w:line="13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Consolidated 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18,061</w:t>
            </w:r>
          </w:p>
        </w:tc>
        <w:tc>
          <w:tcPr>
            <w:tcW w:w="2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27,396</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36,899</w:t>
            </w:r>
          </w:p>
        </w:tc>
        <w:tc>
          <w:tcPr>
            <w:tcW w:w="2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attributable to redeemable noncontrolling interest</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(1,223 )</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(656 )</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(2,295 )</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(3,466 )</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8"/>
                <w:szCs w:val="18"/>
                <w:color w:val="auto"/>
                <w:w w:val="97"/>
              </w:rPr>
              <w:t>Accretion of redeemable noncontrolling interest to redemption</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29,620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111,620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value</w:t>
            </w: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95"/>
              </w:rPr>
              <w:t>Net (loss) income attributable to common stockholders — basic</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(10,336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28,052</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(72,426</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line="183" w:lineRule="exact"/>
              <w:rPr>
                <w:sz w:val="20"/>
                <w:szCs w:val="20"/>
                <w:color w:val="auto"/>
              </w:rPr>
            </w:pPr>
            <w:r>
              <w:rPr>
                <w:rFonts w:ascii="Arial" w:cs="Arial" w:eastAsia="Arial" w:hAnsi="Arial"/>
                <w:sz w:val="18"/>
                <w:szCs w:val="18"/>
                <w:color w:val="auto"/>
              </w:rPr>
              <w:t>Net loss attributable to redeemable noncontrolling interest</w:t>
            </w:r>
          </w:p>
        </w:tc>
        <w:tc>
          <w:tcPr>
            <w:tcW w:w="1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(656 )</w:t>
            </w:r>
          </w:p>
        </w:tc>
        <w:tc>
          <w:tcPr>
            <w:tcW w:w="160" w:type="dxa"/>
            <w:vAlign w:val="bottom"/>
          </w:tcPr>
          <w:p>
            <w:pPr>
              <w:spacing w:after="0"/>
              <w:rPr>
                <w:sz w:val="15"/>
                <w:szCs w:val="15"/>
                <w:color w:val="auto"/>
              </w:rPr>
            </w:pPr>
          </w:p>
        </w:tc>
        <w:tc>
          <w:tcPr>
            <w:tcW w:w="114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(656 )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Net (loss) income attributable to common stockholders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(10,336 )</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27,396</w:t>
            </w:r>
          </w:p>
        </w:tc>
        <w:tc>
          <w:tcPr>
            <w:tcW w:w="2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(72,426 )</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49,757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diluted</w:t>
            </w:r>
          </w:p>
        </w:tc>
        <w:tc>
          <w:tcPr>
            <w:tcW w:w="18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Weighted-average number of shares of common stock used</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40"/>
              <w:spacing w:after="0" w:line="176" w:lineRule="exact"/>
              <w:rPr>
                <w:sz w:val="20"/>
                <w:szCs w:val="20"/>
                <w:color w:val="auto"/>
              </w:rPr>
            </w:pPr>
            <w:r>
              <w:rPr>
                <w:rFonts w:ascii="Arial" w:cs="Arial" w:eastAsia="Arial" w:hAnsi="Arial"/>
                <w:sz w:val="18"/>
                <w:szCs w:val="18"/>
                <w:color w:val="auto"/>
              </w:rPr>
              <w:t>in computing net income per share attributable to</w:t>
            </w:r>
          </w:p>
        </w:tc>
        <w:tc>
          <w:tcPr>
            <w:tcW w:w="18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1"/>
              </w:rPr>
              <w:t>118,390,641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1"/>
              </w:rPr>
              <w:t>117,124,895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118,211,975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116,722,913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 basic</w:t>
            </w:r>
          </w:p>
        </w:tc>
        <w:tc>
          <w:tcPr>
            <w:tcW w:w="18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80"/>
              <w:spacing w:after="0" w:line="162" w:lineRule="exact"/>
              <w:rPr>
                <w:sz w:val="20"/>
                <w:szCs w:val="20"/>
                <w:color w:val="auto"/>
              </w:rPr>
            </w:pPr>
            <w:r>
              <w:rPr>
                <w:rFonts w:ascii="Arial" w:cs="Arial" w:eastAsia="Arial" w:hAnsi="Arial"/>
                <w:sz w:val="18"/>
                <w:szCs w:val="18"/>
                <w:color w:val="auto"/>
              </w:rPr>
              <w:t>Dilutive effect of share equivalents resulting from stock</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450,512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481,802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Dilutive effect of share equivalents resulting from</w:t>
            </w:r>
          </w:p>
        </w:tc>
        <w:tc>
          <w:tcPr>
            <w:tcW w:w="18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300,916</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360,363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unvested restricted stock units</w:t>
            </w:r>
          </w:p>
        </w:tc>
        <w:tc>
          <w:tcPr>
            <w:tcW w:w="18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80"/>
              <w:spacing w:after="0" w:line="162" w:lineRule="exact"/>
              <w:rPr>
                <w:sz w:val="20"/>
                <w:szCs w:val="20"/>
                <w:color w:val="auto"/>
              </w:rPr>
            </w:pPr>
            <w:r>
              <w:rPr>
                <w:rFonts w:ascii="Arial" w:cs="Arial" w:eastAsia="Arial" w:hAnsi="Arial"/>
                <w:sz w:val="18"/>
                <w:szCs w:val="18"/>
                <w:color w:val="auto"/>
                <w:w w:val="99"/>
              </w:rPr>
              <w:t>Dilutive effect of share equivalents resulting from CarOffer</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1,577,781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788,891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320"/>
              <w:spacing w:after="0" w:line="202" w:lineRule="exact"/>
              <w:rPr>
                <w:sz w:val="20"/>
                <w:szCs w:val="20"/>
                <w:color w:val="auto"/>
              </w:rPr>
            </w:pPr>
            <w:r>
              <w:rPr>
                <w:rFonts w:ascii="Arial" w:cs="Arial" w:eastAsia="Arial" w:hAnsi="Arial"/>
                <w:sz w:val="18"/>
                <w:szCs w:val="18"/>
                <w:color w:val="auto"/>
              </w:rPr>
              <w:t>incentive units and noncontrolling interest</w:t>
            </w: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FF0FC"/>
          </w:tcPr>
          <w:p>
            <w:pPr>
              <w:ind w:left="180"/>
              <w:spacing w:after="0" w:line="156" w:lineRule="exact"/>
              <w:rPr>
                <w:sz w:val="20"/>
                <w:szCs w:val="20"/>
                <w:color w:val="auto"/>
              </w:rPr>
            </w:pPr>
            <w:r>
              <w:rPr>
                <w:rFonts w:ascii="Arial" w:cs="Arial" w:eastAsia="Arial" w:hAnsi="Arial"/>
                <w:sz w:val="18"/>
                <w:szCs w:val="18"/>
                <w:color w:val="auto"/>
              </w:rPr>
              <w:t>Weighted-average number of shares of common stock</w:t>
            </w:r>
          </w:p>
        </w:tc>
        <w:tc>
          <w:tcPr>
            <w:tcW w:w="1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320"/>
              <w:spacing w:after="0" w:line="176" w:lineRule="exact"/>
              <w:rPr>
                <w:sz w:val="20"/>
                <w:szCs w:val="20"/>
                <w:color w:val="auto"/>
              </w:rPr>
            </w:pPr>
            <w:r>
              <w:rPr>
                <w:rFonts w:ascii="Arial" w:cs="Arial" w:eastAsia="Arial" w:hAnsi="Arial"/>
                <w:sz w:val="18"/>
                <w:szCs w:val="18"/>
                <w:color w:val="auto"/>
              </w:rPr>
              <w:t>used in computing net income per share attributable to</w:t>
            </w:r>
          </w:p>
        </w:tc>
        <w:tc>
          <w:tcPr>
            <w:tcW w:w="18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1"/>
              </w:rPr>
              <w:t>118,390,641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1"/>
              </w:rPr>
              <w:t>119,454,104</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118,211,975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118,353,969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common stockholders — diluted</w:t>
            </w:r>
          </w:p>
        </w:tc>
        <w:tc>
          <w:tcPr>
            <w:tcW w:w="18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8"/>
                <w:szCs w:val="18"/>
                <w:color w:val="auto"/>
              </w:rPr>
              <w:t>Net (loss) income per share attributable to common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(0.09 )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(0.61 )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tcPr>
          <w:p>
            <w:pPr>
              <w:spacing w:after="0" w:line="183" w:lineRule="exact"/>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(0.09 )</w:t>
            </w:r>
          </w:p>
        </w:tc>
        <w:tc>
          <w:tcPr>
            <w:tcW w:w="200" w:type="dxa"/>
            <w:vAlign w:val="bottom"/>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0.23</w:t>
            </w:r>
          </w:p>
        </w:tc>
        <w:tc>
          <w:tcPr>
            <w:tcW w:w="20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
              <w:spacing w:after="0" w:line="183" w:lineRule="exact"/>
              <w:rPr>
                <w:sz w:val="20"/>
                <w:szCs w:val="20"/>
                <w:color w:val="auto"/>
              </w:rPr>
            </w:pPr>
            <w:r>
              <w:rPr>
                <w:rFonts w:ascii="Arial" w:cs="Arial" w:eastAsia="Arial" w:hAnsi="Arial"/>
                <w:sz w:val="18"/>
                <w:szCs w:val="18"/>
                <w:color w:val="auto"/>
              </w:rPr>
              <w:t>(0.61 )</w:t>
            </w:r>
          </w:p>
        </w:tc>
        <w:tc>
          <w:tcPr>
            <w:tcW w:w="200" w:type="dxa"/>
            <w:vAlign w:val="bottom"/>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-2502535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-2485390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-2502535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-2485390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-2502535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-2485390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-2502535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-2485390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-2125345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-2108200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-2125345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-2108200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-2125345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-2108200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-2125345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-2108200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-179070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-162560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-162560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For the three and six months ended June 30, 2022 and 2021, potentially dilutive common stock equivalents that have been excluded from the calculation of diluted weighted-average shares outstanding as their effect would have been anti-dilutive are as follows: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outstanding</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885,547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588,490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914,870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457,714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Restricted stock units outstanding</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4,296,625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2,849,737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4,186,653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2,671,279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CO Incentive Units, Subject Units and noncontrolling</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15,205,940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11,498,025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10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For the three and six months ended June 30, 2021, shares of Class A common stock potentially issuable under market-based performance awards of approximately 282,921 were excluded from the calculation of weighted average shares used to compute Diluted EPS, as the market-based vesting conditions had not been achieved as of the reporting period end date and as such there were zero contingently issuable shares. During the three months ended March 31, 2022, the Company modified its market-based performance awards to contain only service-based vesting conditions in line with the Company's other restricted stock unit awards.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and six months ended June 30, 2022, there was no effect of potentially dilutive shares as the numerator was negative.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three months ended June 30, 2022, the Company recorded an income tax provision of $5,325, representing an effective tax rate of 21.6%. The effective tax rate for the three months ended June 30, 2022 was greater than the statutory tax rate of 21%, principally due to state and local income taxes, shortfalls on the taxable compensation of share-based awards and the Section 162(m) excess officer compensation limitation, partially offset by federal and state research and development tax credits.</w:t>
      </w:r>
    </w:p>
    <w:p>
      <w:pPr>
        <w:spacing w:after="0" w:line="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six months ended June 30, 2022, the Company recorded an income tax provision of $13,027, representing an effective tax rate of 25.0%. The effective tax rate for the six months ended June 30, 2022 was greater than the statutory rate of 21%, principally due to state and local income taxes, shortfalls on the taxable compensation of share-based awards and the Section 162(m) excess officer compensation limitation, partially offset by federal and state research and development tax credits.</w:t>
      </w:r>
    </w:p>
    <w:p>
      <w:pPr>
        <w:spacing w:after="0" w:line="8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During the three months ended June 30, 2021, the Company recorded an income tax provision of $11,142, representing an effective tax rate of 28.4%. The effective tax rate for the three months ended June 30, 2021 was greater than the statutory tax rate of 21%, principally due to state and local income taxes, shortfalls on the taxable compensation of share-based awards and the Section 162(m) excess officer compensation limitation, which became applicable upon the expiration in May 2021 of the transition period permitted following the Company’s initial public offering (“IPO”), partially offset by federal and state research and development tax credits.</w:t>
      </w:r>
    </w:p>
    <w:p>
      <w:pPr>
        <w:spacing w:after="0" w:line="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During the six months ended June 30, 2021, the Company recorded an income tax provision of $17,604, representing an effective tax rate of 25.9%. The effective tax rate for the six months ended June 30, 2021 was higher than the statutory tax rate of 21%, principally due to state and local income taxes, shortfalls on the taxable compensation of share-based awards and the Section 162(m) excess officer compensation limitation, which became applicable upon the expiration in May 2021 of the transition period permitted following the IPO, partially offset by federal and state research and development tax credits.</w:t>
      </w:r>
    </w:p>
    <w:p>
      <w:pPr>
        <w:spacing w:after="0" w:line="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and its subsidiaries are subject to various U.S. federal, state, and foreign income tax examinations. The Company is currently not subject to income tax examination for the tax years of 2017 and prior as a result of applicable statute of limitations of the Internal Revenue Service (“IRS”) and a majority of applicable state jurisdictions. The Company is currently not subject to examination in its foreign jurisdictions for tax years 2016 and prior.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Effective the first quarter of 2022, the Company revised its segment reporting from two reportable segments, United States and International, to one reportable segment. The Company concluded the change in segment reporting was not a triggering event for goodwill impairment. The change in segment reporting was made to align with changes made in the manner the Company’s chief operating decision maker (the “CODM”) reviews the Company’s operating results in assessing performance and allocating resources. The CODM now assesses the Company's performance on a consolidated basis rather than by geographical location as a result of the international segment becoming less significant relative to the overall business. The CODM reviews revenue and operating income as a proxy for the operating performance of the Company’s operations. The Company’s Chief Executive Officer is the CODM.</w:t>
      </w:r>
    </w:p>
    <w:p>
      <w:pPr>
        <w:spacing w:after="0" w:line="83"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three and six months ended June 30, 2022 and 2021, information regarding the Company’s operations by segment is represented within the Unaudited Condensed Consolidated Income Statements.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and six months ended June 30, 2022 and 2021, information regarding the Company’s revenue by geographical region is as follows: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5"/>
        </w:trPr>
        <w:tc>
          <w:tcPr>
            <w:tcW w:w="5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Revenue by Geographic Region:</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500,056</w:t>
            </w: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206,584</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919,264</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369,595</w:t>
            </w:r>
          </w:p>
        </w:tc>
        <w:tc>
          <w:tcPr>
            <w:tcW w:w="100" w:type="dxa"/>
            <w:vAlign w:val="bottom"/>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11,173</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11,164</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22,573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511,229</w:t>
            </w:r>
          </w:p>
        </w:tc>
        <w:tc>
          <w:tcPr>
            <w:tcW w:w="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217,748</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941,837</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389,116</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-159385</wp:posOffset>
            </wp:positionV>
            <wp:extent cx="774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-159385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-159385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0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On August 2, 2022, Scot Fredo, the Company's Chief Financial Officer, announced his intent to resign to pursue another career opportunity. Mr. Fredo will remain with the Company as Chief Financial Officer through October 3, 2022, the effective date of his resignation. Additionally, on August 2, 2022, the Company's Board of Directors designated Jason Trevisan, the Company's Chief Executive Officer, to serve as the Company's Principal Financial Officer effective upon Mr. Fredo's resignation on October 3, 2022 and until such time that the Company appoints a successor Chief Financial Officer.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2021, filed with the Securities and Exchange Commission, or SEC, on February 25, 2022,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 The period-to-period comparison of financial results is not necessarily indicative of future results.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CarGurus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We use our proprietary technology, search algorithms and data analytics to bring trust, transparency and competitive pricing to the automotive shopping experience.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operate principally in the United States. In the United States, we also operate as independent brands the Autolist online marketplace, which we wholly own, and CarOffer digital wholesale marketplace, in which we have a 51% interest. In addition to the United States, we operate online marketplaces under the CarGurus brand in Canada and the United Kingdom. In the United Kingdom, we also operate as an independent brand the PistonHeads online marketplace, which we wholly own.</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subsidiaries in the United States, Canada, Ireland, and the United Kingdom and, prior to the first quarter of 2022, we had two reportable segments – United States and International. Effective as of the first quarter of 2022, we revised our segment reporting from two reportable segments to one reportable segment. See Note 11 of the Unaudited Condensed Consolidated Financial Statements included elsewhere in this Quarterly Report for further segment reporting and geographical information.</w:t>
      </w:r>
    </w:p>
    <w:p>
      <w:pPr>
        <w:spacing w:after="0" w:line="188"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7"/>
          <w:szCs w:val="17"/>
          <w:color w:val="auto"/>
        </w:rPr>
        <w:t>We generate marketplace revenue primarily from (i) dealer subscriptions to our Listings packages and Real-time Performance Marketing, or RPM, digital advertising suite, (ii)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and (iii) partnerships with financing services companies. We generate wholesale revenue primarily from transaction fees earned by CarOffer from facilitating the purchase and sale of vehicles between dealers. We generate product revenue primarily from aggregate proceeds received on the sale of vehicles.</w:t>
      </w:r>
    </w:p>
    <w:p>
      <w:pPr>
        <w:spacing w:after="0" w:line="18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For the three months ended June 30, 2022, we generated revenue of $511.2 million, a 135% increase from $217.7 million of revenue in the three months ended June 30, 2021. For the three months ended June 30, 2022, we generated consolidated net income of $18.1 million and Adjusted EBITDA of $54.0 million, compared to consolidated net income of $27.4 million and Adjusted EBITDA of $66.4 million for the three months ended June 30, 2021.</w:t>
      </w:r>
    </w:p>
    <w:p>
      <w:pPr>
        <w:spacing w:after="0" w:line="147"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For the six months ended June 30, 2022, we generated revenue of $941.8 million, a 142% increase from $389.1 million of revenue in the six months ended June 30, 2021. For the six months ended June 30, 2022, we generated consolidated net income of $36.9 million and Adjusted EBITDA of $111.9 million, compared to consolidated net income of $46.9 million and Adjusted EBITDA of $117.0 million for the six months ended June 30, 2021.</w:t>
      </w:r>
    </w:p>
    <w:p>
      <w:pPr>
        <w:spacing w:after="0" w:line="1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See “Adjusted EBITDA” below for more information regarding our use of Adjusted EBITDA, a non-GAAP financial measure, and a reconciliation of Adjusted EBITDA to our consolidated net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COVID-19 Update</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COVID-19 pandemic resulted in significant disruptions to the global economy as well as businesses and capital markets around the world. The continued impact of COVID -19 and, in particular, existing and new variants that may emerge, cannot be predicted at this time, and could depend on a number of factors, including the availability of vaccines in different parts of the world, vaccination rates among the population, and the effectiveness of vaccines against any variants.</w:t>
      </w:r>
    </w:p>
    <w:p>
      <w:pPr>
        <w:spacing w:after="0" w:line="18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Our recent operations have been affected by a range of factors related to the COVID-19 pandemic, including continued temporary office closures and hybrid or remote work for most employees. Fluctuation in infection rates in the regions in which we operate has resulted in periodic changes in restrictions that vary from region to region and may require rapid response to new or reinstated orders. Many of these orders at times have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w:t>
      </w:r>
    </w:p>
    <w:p>
      <w:pPr>
        <w:spacing w:after="0" w:line="1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automotive industry is also facing inventory supply problems, including for reasons attributable to the COVID-19 pandemic and other macroeconomic issues, such as the global semiconductor chip shortage, which have adversely affected the amount of inventory on our websites.</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continue to monitor and assess the effects of the COVID-19 pandemic, including the effects of variants, on our commercial operations, including the impact on our revenue. See the “Risk Factors” section of this Quarterly Report for further discussion of the impacts of the COVID-19 pandemic on our business.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geographic regions. The International region derives revenues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 The metrics presented below exclude CarOffer as we believe such metrics are either not applicable for the CarOffer business or do not provide a meaningful way to evaluate the CarOffer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0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For each of our websites,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jc w:val="center"/>
              <w:ind w:left="764"/>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Unique Users</w:t>
            </w:r>
          </w:p>
        </w:tc>
        <w:tc>
          <w:tcPr>
            <w:tcW w:w="3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64"/>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47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29,526</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32,828</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4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6,591</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7,763</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4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36,117</w:t>
            </w:r>
          </w:p>
        </w:tc>
        <w:tc>
          <w:tcPr>
            <w:tcW w:w="30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40,591</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635"/>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jc w:val="right"/>
              <w:ind w:right="139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U.K.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ind w:left="86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5"/>
        </w:trPr>
        <w:tc>
          <w:tcPr>
            <w:tcW w:w="6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Sessions</w:t>
            </w:r>
          </w:p>
        </w:tc>
        <w:tc>
          <w:tcPr>
            <w:tcW w:w="180" w:type="dxa"/>
            <w:vAlign w:val="bottom"/>
          </w:tcPr>
          <w:p>
            <w:pPr>
              <w:spacing w:after="0"/>
              <w:rPr>
                <w:sz w:val="14"/>
                <w:szCs w:val="14"/>
                <w:color w:val="auto"/>
              </w:rPr>
            </w:pPr>
          </w:p>
        </w:tc>
        <w:tc>
          <w:tcPr>
            <w:tcW w:w="13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ind w:left="1080"/>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3"/>
        </w:trPr>
        <w:tc>
          <w:tcPr>
            <w:tcW w:w="68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13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87"/>
              </w:rPr>
              <w:t>80,142</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81,087</w:t>
            </w:r>
          </w:p>
        </w:tc>
        <w:tc>
          <w:tcPr>
            <w:tcW w:w="260" w:type="dxa"/>
            <w:vAlign w:val="bottom"/>
            <w:shd w:val="clear" w:color="auto" w:fill="CFF0FC"/>
          </w:tcPr>
          <w:p>
            <w:pPr>
              <w:spacing w:after="0"/>
              <w:rPr>
                <w:sz w:val="17"/>
                <w:szCs w:val="17"/>
                <w:color w:val="auto"/>
              </w:rPr>
            </w:pP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38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87"/>
              </w:rPr>
              <w:t>14,903</w:t>
            </w:r>
          </w:p>
        </w:tc>
        <w:tc>
          <w:tcPr>
            <w:tcW w:w="3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18,017</w:t>
            </w:r>
          </w:p>
        </w:tc>
        <w:tc>
          <w:tcPr>
            <w:tcW w:w="260" w:type="dxa"/>
            <w:vAlign w:val="bottom"/>
          </w:tcPr>
          <w:p>
            <w:pPr>
              <w:spacing w:after="0"/>
              <w:rPr>
                <w:sz w:val="17"/>
                <w:szCs w:val="17"/>
                <w:color w:val="auto"/>
              </w:rPr>
            </w:pPr>
          </w:p>
        </w:tc>
      </w:tr>
      <w:tr>
        <w:trPr>
          <w:trHeight w:val="196"/>
        </w:trPr>
        <w:tc>
          <w:tcPr>
            <w:tcW w:w="680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380" w:type="dxa"/>
            <w:vAlign w:val="bottom"/>
            <w:shd w:val="clear" w:color="auto" w:fill="CFF0FC"/>
          </w:tcPr>
          <w:p>
            <w:pPr>
              <w:ind w:left="880"/>
              <w:spacing w:after="0" w:line="196" w:lineRule="exact"/>
              <w:rPr>
                <w:sz w:val="20"/>
                <w:szCs w:val="20"/>
                <w:color w:val="auto"/>
              </w:rPr>
            </w:pPr>
            <w:r>
              <w:rPr>
                <w:rFonts w:ascii="Arial" w:cs="Arial" w:eastAsia="Arial" w:hAnsi="Arial"/>
                <w:sz w:val="18"/>
                <w:szCs w:val="18"/>
                <w:color w:val="auto"/>
                <w:w w:val="87"/>
              </w:rPr>
              <w:t>95,045</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99,104</w:t>
            </w:r>
          </w:p>
        </w:tc>
        <w:tc>
          <w:tcPr>
            <w:tcW w:w="260" w:type="dxa"/>
            <w:vAlign w:val="bottom"/>
            <w:shd w:val="clear" w:color="auto" w:fill="CFF0FC"/>
          </w:tcPr>
          <w:p>
            <w:pPr>
              <w:spacing w:after="0"/>
              <w:rPr>
                <w:sz w:val="17"/>
                <w:szCs w:val="17"/>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As of June 30</w:t>
            </w:r>
          </w:p>
        </w:tc>
        <w:tc>
          <w:tcPr>
            <w:tcW w:w="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Number of Paying Dealers</w:t>
            </w:r>
          </w:p>
        </w:tc>
        <w:tc>
          <w:tcPr>
            <w:tcW w:w="13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r>
      <w:tr>
        <w:trPr>
          <w:trHeight w:val="196"/>
        </w:trPr>
        <w:tc>
          <w:tcPr>
            <w:tcW w:w="66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24,488</w:t>
            </w:r>
          </w:p>
        </w:tc>
        <w:tc>
          <w:tcPr>
            <w:tcW w:w="2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23,950</w:t>
            </w:r>
          </w:p>
        </w:tc>
        <w:tc>
          <w:tcPr>
            <w:tcW w:w="260" w:type="dxa"/>
            <w:vAlign w:val="bottom"/>
            <w:shd w:val="clear" w:color="auto" w:fill="CFF0FC"/>
          </w:tcPr>
          <w:p>
            <w:pPr>
              <w:spacing w:after="0"/>
              <w:rPr>
                <w:sz w:val="17"/>
                <w:szCs w:val="17"/>
                <w:color w:val="auto"/>
              </w:rPr>
            </w:pP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6,655</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6,777</w:t>
            </w:r>
          </w:p>
        </w:tc>
        <w:tc>
          <w:tcPr>
            <w:tcW w:w="260" w:type="dxa"/>
            <w:vAlign w:val="bottom"/>
          </w:tcPr>
          <w:p>
            <w:pPr>
              <w:spacing w:after="0"/>
              <w:rPr>
                <w:sz w:val="17"/>
                <w:szCs w:val="17"/>
                <w:color w:val="auto"/>
              </w:rPr>
            </w:pPr>
          </w:p>
        </w:tc>
      </w:tr>
      <w:tr>
        <w:trPr>
          <w:trHeight w:val="196"/>
        </w:trPr>
        <w:tc>
          <w:tcPr>
            <w:tcW w:w="68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31,143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30,727</w:t>
            </w:r>
          </w:p>
        </w:tc>
        <w:tc>
          <w:tcPr>
            <w:tcW w:w="2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0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2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5,771</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5,550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8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1,533</w:t>
            </w:r>
          </w:p>
        </w:tc>
        <w:tc>
          <w:tcPr>
            <w:tcW w:w="7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1,491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Consolidated</w:t>
            </w:r>
          </w:p>
        </w:tc>
        <w:tc>
          <w:tcPr>
            <w:tcW w:w="284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4,862</w:t>
            </w:r>
          </w:p>
        </w:tc>
        <w:tc>
          <w:tcPr>
            <w:tcW w:w="70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635"/>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20" w:type="dxa"/>
            <w:vAlign w:val="bottom"/>
          </w:tcPr>
          <w:p>
            <w:pPr>
              <w:jc w:val="right"/>
              <w:ind w:right="147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Consolidated Adjusted EBITDA, Adjusted EBITDA and Adjusted EBITDA attributable to redeemable noncontrolling interest</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To provide investors with additional information regarding our financial results, we monitor and have presented within this Quarterly Report, Consolidated Adjusted EBITDA, Adjusted EBITDA and Adjusted EBITDA attributable to redeemable noncontrolling interest, each of which are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are not based on any standardized methodology prescribed by United States generally accepted accounting principles, or GAAP, and are not necessarily comparable to any similarly titled measures presented by other companies.</w:t>
      </w:r>
    </w:p>
    <w:p>
      <w:pPr>
        <w:spacing w:after="0" w:line="189" w:lineRule="exact"/>
        <w:rPr>
          <w:sz w:val="20"/>
          <w:szCs w:val="20"/>
          <w:color w:val="auto"/>
        </w:rPr>
      </w:pPr>
    </w:p>
    <w:p>
      <w:pPr>
        <w:jc w:val="both"/>
        <w:ind w:firstLine="509"/>
        <w:spacing w:after="0" w:line="216" w:lineRule="exact"/>
        <w:rPr>
          <w:sz w:val="20"/>
          <w:szCs w:val="20"/>
          <w:color w:val="auto"/>
        </w:rPr>
      </w:pPr>
      <w:r>
        <w:rPr>
          <w:rFonts w:ascii="Arial" w:cs="Arial" w:eastAsia="Arial" w:hAnsi="Arial"/>
          <w:sz w:val="18"/>
          <w:szCs w:val="18"/>
          <w:color w:val="auto"/>
        </w:rPr>
        <w:t>We define Consolidated Adjusted EBITDA as consolidated net income, adjusted to exclude: depreciation 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acquisition-related expenses, other expense (income), net, and provision for income taxes.</w:t>
      </w:r>
    </w:p>
    <w:p>
      <w:pPr>
        <w:spacing w:after="0" w:line="1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define Adjusted EBITDA as Consolidated Adjusted EBITDA adjusted to exclude Adjusted EBITDA attributable to redeemable noncontrolling interest, adjusted for all prior limitations to Consolidated Adjusted EBITDA as previously described.</w:t>
      </w:r>
    </w:p>
    <w:p>
      <w:pPr>
        <w:spacing w:after="0" w:line="171"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We define Adjusted EBITDA attributable to redeemable noncontrolling interest as net loss attributable to redeemable noncontrolling interest, adjusted to exclude: depreciation 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other expense (income), net, provision for income taxes. These exclusions are adjusted for redeemable noncontrolling interest.</w:t>
      </w:r>
    </w:p>
    <w:p>
      <w:pPr>
        <w:spacing w:after="0" w:line="190"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8"/>
          <w:szCs w:val="18"/>
          <w:color w:val="auto"/>
        </w:rPr>
        <w:t>We have presented Consolidated Adjusted EBITDA, Adjusted EBITDA and Adjusted EBITDA attributable to redeemable noncontrolling interest within this Quarterly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Adjusted EBITDA and Adjusted EBITDA attributable to redeemable noncontrolling interest can produce a useful measure for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business.</w:t>
      </w:r>
    </w:p>
    <w:p>
      <w:pPr>
        <w:spacing w:after="0" w:line="189"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color w:val="auto"/>
        </w:rPr>
        <w:t>We use Consolidated Adjusted EBITDA, Adjusted EBITDA and Adjusted EBITDA attributable to redeemable noncontrolling interest to evaluate our operating performance and trends and make planning decisions. We believe Consolidated Adjusted EBITDA, Adjusted EBITDA and Adjusted EBITDA attributable to redeemable noncontrolling interest help identify underlying trends in our business that could otherwise be masked by the effect of the expenses that we exclude. Accordingly, we believe that Consolidated Adjusted EBITDA, Adjusted EBITDA and Adjusted EBITDA attributable to redeemable noncontrolling interest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Arial" w:cs="Arial" w:eastAsia="Arial" w:hAnsi="Arial"/>
          <w:sz w:val="18"/>
          <w:szCs w:val="18"/>
          <w:color w:val="auto"/>
        </w:rPr>
        <w:t>making.</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attributable to redeemable noncontrolling interest, respectively, which are the most directly comparable GAAP equivalents. Some of these limitations are:</w:t>
      </w:r>
    </w:p>
    <w:p>
      <w:pPr>
        <w:spacing w:after="0" w:line="189" w:lineRule="exact"/>
        <w:rPr>
          <w:sz w:val="20"/>
          <w:szCs w:val="20"/>
          <w:color w:val="auto"/>
        </w:rPr>
      </w:pPr>
    </w:p>
    <w:p>
      <w:pPr>
        <w:jc w:val="both"/>
        <w:ind w:left="900" w:hanging="383"/>
        <w:spacing w:after="0" w:line="212" w:lineRule="exact"/>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189" w:lineRule="exact"/>
        <w:rPr>
          <w:rFonts w:ascii="Arial" w:cs="Arial" w:eastAsia="Arial" w:hAnsi="Arial"/>
          <w:sz w:val="18"/>
          <w:szCs w:val="18"/>
          <w:color w:val="auto"/>
        </w:rPr>
      </w:pPr>
    </w:p>
    <w:p>
      <w:pPr>
        <w:jc w:val="both"/>
        <w:ind w:left="900" w:hanging="383"/>
        <w:spacing w:after="0" w:line="212" w:lineRule="exact"/>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189"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and Adjusted EBITDA exclude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181"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other expense (income), net which primarily includes net foreign exchange gains and losses and interest income earned on our cash, cash equivalents, and investments;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left="900" w:hanging="383"/>
        <w:spacing w:after="0" w:line="261"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the provision for income taxes;</w:t>
      </w:r>
    </w:p>
    <w:p>
      <w:pPr>
        <w:spacing w:after="0" w:line="170"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excludes Adjusted EBITDA attributable to redeemable noncontrolling interest, which is calculated as the net loss attributable to redeemable noncontrolling interest, adjusted for all prior limitations to Adjusted EBITDA as described above; and</w:t>
      </w:r>
    </w:p>
    <w:p>
      <w:pPr>
        <w:spacing w:after="0" w:line="146" w:lineRule="exact"/>
        <w:rPr>
          <w:rFonts w:ascii="Arial" w:cs="Arial" w:eastAsia="Arial" w:hAnsi="Arial"/>
          <w:sz w:val="17"/>
          <w:szCs w:val="17"/>
          <w:color w:val="auto"/>
        </w:rPr>
      </w:pPr>
    </w:p>
    <w:p>
      <w:pPr>
        <w:ind w:left="900" w:right="20" w:hanging="383"/>
        <w:spacing w:after="0" w:line="291"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Consolidated Adjusted EBITDA, Adjusted EBITDA and Adjusted EBITDA attributable to redeemable noncontrolling interest differently, which reduces their usefulness as a comparative measure.</w:t>
      </w:r>
    </w:p>
    <w:p>
      <w:pPr>
        <w:spacing w:after="0" w:line="147"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spacing w:after="0" w:line="12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presents a reconciliation of Consolidated Adjusted EBITDA and Adjusted EBITDA to consolidated net income, the most directly comparable measure calculated in accordance with GAAP, for each of the periods presented.</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1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w w:val="96"/>
              </w:rPr>
              <w:t>Reconciliation of Consolidated Adjusted EBITDA and Adjusted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18"/>
                <w:szCs w:val="18"/>
                <w:color w:val="auto"/>
              </w:rPr>
            </w:pPr>
          </w:p>
        </w:tc>
        <w:tc>
          <w:tcPr>
            <w:tcW w:w="138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89"/>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Consolidated net income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18,061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27,396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36,899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11,234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10,165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22,419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18,831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26,457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22,540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54,299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Acquisition-related expenses</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(61 )</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5,325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11,142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13,027</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Consolidated Adjusted EBITDA</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61,233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71,247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126,919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121,741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w w:val="96"/>
              </w:rPr>
              <w:t>Adjusted EBITDA attributable to redeemable noncontrolling interest</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(7,265 )</w:t>
            </w:r>
          </w:p>
        </w:tc>
        <w:tc>
          <w:tcPr>
            <w:tcW w:w="3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(4,805 )</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(15,001 )</w:t>
            </w:r>
          </w:p>
        </w:tc>
        <w:tc>
          <w:tcPr>
            <w:tcW w:w="34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(4,737 )</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53,968</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66,442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111,918</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117,004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The following table presents a reconciliation of Adjusted EBITDA attributable to redeemable noncontrolling interest to net loss attributable to redeemable noncontrolling interest, the most directly comparable measure calculated in accordance with GAAP, for each of the periods presented.</w:t>
      </w:r>
    </w:p>
    <w:p>
      <w:pPr>
        <w:spacing w:after="0" w:line="342" w:lineRule="exact"/>
        <w:rPr>
          <w:sz w:val="20"/>
          <w:szCs w:val="20"/>
          <w:color w:val="auto"/>
        </w:rPr>
      </w:pPr>
    </w:p>
    <w:tbl>
      <w:tblPr>
        <w:tblLayout w:type="fixed"/>
        <w:tblInd w:w="5360" w:type="dxa"/>
        <w:tblCellMar>
          <w:top w:w="0" w:type="dxa"/>
          <w:left w:w="0" w:type="dxa"/>
          <w:bottom w:w="0" w:type="dxa"/>
          <w:right w:w="0" w:type="dxa"/>
        </w:tblCellMar>
      </w:tblPr>
      <w:tr>
        <w:trPr>
          <w:trHeight w:val="161"/>
        </w:trPr>
        <w:tc>
          <w:tcPr>
            <w:tcW w:w="2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5"/>
        </w:trPr>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89"/>
              </w:rPr>
              <w:t>June 30,</w:t>
            </w:r>
          </w:p>
        </w:tc>
      </w:tr>
      <w:tr>
        <w:trPr>
          <w:trHeight w:val="180"/>
        </w:trPr>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7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66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-6350</wp:posOffset>
            </wp:positionV>
            <wp:extent cx="3394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ind w:left="480" w:right="460"/>
        <w:spacing w:after="0" w:line="244" w:lineRule="auto"/>
        <w:rPr>
          <w:sz w:val="20"/>
          <w:szCs w:val="20"/>
          <w:color w:val="auto"/>
        </w:rPr>
      </w:pPr>
      <w:r>
        <w:rPr>
          <w:rFonts w:ascii="Arial" w:cs="Arial" w:eastAsia="Arial" w:hAnsi="Arial"/>
          <w:sz w:val="17"/>
          <w:szCs w:val="17"/>
          <w:b w:val="1"/>
          <w:bCs w:val="1"/>
          <w:color w:val="auto"/>
        </w:rPr>
        <w:t>Reconciliation of Adjusted EBITDA attributable to redeemable noncontrolling interest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loss attributable to redeemable noncontrolling interest</w:t>
      </w:r>
    </w:p>
    <w:p>
      <w:pPr>
        <w:ind w:left="480"/>
        <w:spacing w:after="0" w:line="196" w:lineRule="auto"/>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4"/>
          <w:szCs w:val="24"/>
          <w:color w:val="auto"/>
          <w:vertAlign w:val="superscript"/>
        </w:rPr>
        <w:t>(1)</w:t>
      </w:r>
    </w:p>
    <w:p>
      <w:pPr>
        <w:ind w:left="480"/>
        <w:spacing w:after="0" w:line="183" w:lineRule="auto"/>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3"/>
          <w:szCs w:val="23"/>
          <w:color w:val="auto"/>
          <w:vertAlign w:val="superscript"/>
        </w:rPr>
        <w:t>(1)</w:t>
      </w:r>
    </w:p>
    <w:p>
      <w:pPr>
        <w:ind w:left="480"/>
        <w:spacing w:after="0" w:line="184" w:lineRule="auto"/>
        <w:rPr>
          <w:sz w:val="20"/>
          <w:szCs w:val="20"/>
          <w:color w:val="auto"/>
        </w:rPr>
      </w:pPr>
      <w:r>
        <w:rPr>
          <w:rFonts w:ascii="Arial" w:cs="Arial" w:eastAsia="Arial" w:hAnsi="Arial"/>
          <w:sz w:val="17"/>
          <w:szCs w:val="17"/>
          <w:color w:val="auto"/>
        </w:rPr>
        <w:t xml:space="preserve">Other expense (income), net </w:t>
      </w:r>
      <w:r>
        <w:rPr>
          <w:rFonts w:ascii="Arial" w:cs="Arial" w:eastAsia="Arial" w:hAnsi="Arial"/>
          <w:sz w:val="23"/>
          <w:szCs w:val="23"/>
          <w:color w:val="auto"/>
          <w:vertAlign w:val="superscript"/>
        </w:rPr>
        <w:t>(1)</w:t>
      </w:r>
    </w:p>
    <w:p>
      <w:pPr>
        <w:ind w:left="480"/>
        <w:spacing w:after="0" w:line="188" w:lineRule="auto"/>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24"/>
          <w:szCs w:val="24"/>
          <w:color w:val="auto"/>
          <w:vertAlign w:val="superscript"/>
        </w:rPr>
        <w:t>(1)</w:t>
      </w:r>
    </w:p>
    <w:p>
      <w:pPr>
        <w:spacing w:after="0" w:line="1" w:lineRule="exact"/>
        <w:rPr>
          <w:sz w:val="20"/>
          <w:szCs w:val="20"/>
          <w:color w:val="auto"/>
        </w:rPr>
      </w:pPr>
    </w:p>
    <w:p>
      <w:pPr>
        <w:ind w:left="480"/>
        <w:spacing w:after="0" w:line="226" w:lineRule="auto"/>
        <w:rPr>
          <w:sz w:val="20"/>
          <w:szCs w:val="20"/>
          <w:color w:val="auto"/>
        </w:rPr>
      </w:pPr>
      <w:r>
        <w:rPr>
          <w:rFonts w:ascii="Arial" w:cs="Arial" w:eastAsia="Arial" w:hAnsi="Arial"/>
          <w:sz w:val="18"/>
          <w:szCs w:val="18"/>
          <w:color w:val="auto"/>
        </w:rPr>
        <w:t>Adjusted EBITDA attributable to redeemable noncontrolling interest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15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8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(1,223 )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(2,295 )</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(3,466 )</w:t>
            </w:r>
          </w:p>
        </w:tc>
      </w:tr>
      <w:tr>
        <w:trPr>
          <w:trHeight w:val="203"/>
        </w:trPr>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2,917</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2,797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5,827</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5,122</w:t>
            </w:r>
          </w:p>
        </w:tc>
        <w:tc>
          <w:tcPr>
            <w:tcW w:w="6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5,127</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2,716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10,498</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3,190</w:t>
            </w:r>
          </w:p>
        </w:tc>
        <w:tc>
          <w:tcPr>
            <w:tcW w:w="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(52 )</w:t>
            </w: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(109 )</w:t>
            </w:r>
          </w:p>
        </w:tc>
      </w:tr>
      <w:tr>
        <w:trPr>
          <w:trHeight w:val="217"/>
        </w:trPr>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331"/>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26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24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24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4,737</w:t>
            </w:r>
          </w:p>
        </w:tc>
        <w:tc>
          <w:tcPr>
            <w:tcW w:w="60" w:type="dxa"/>
            <w:vAlign w:val="bottom"/>
          </w:tcPr>
          <w:p>
            <w:pPr>
              <w:spacing w:after="0"/>
              <w:rPr>
                <w:sz w:val="24"/>
                <w:szCs w:val="24"/>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-890905</wp:posOffset>
            </wp:positionV>
            <wp:extent cx="655764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57645" cy="12890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-633730</wp:posOffset>
            </wp:positionV>
            <wp:extent cx="655764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57645" cy="12890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-376555</wp:posOffset>
            </wp:positionV>
            <wp:extent cx="655764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860" w:space="500"/>
            <w:col w:w="5880"/>
          </w:cols>
          <w:pgMar w:left="320" w:top="544" w:right="339" w:bottom="1440" w:gutter="0" w:footer="0" w:header="0"/>
          <w:type w:val="continuous"/>
        </w:sectPr>
      </w:pPr>
    </w:p>
    <w:p>
      <w:pPr>
        <w:spacing w:after="0" w:line="2" w:lineRule="exact"/>
        <w:rPr>
          <w:sz w:val="20"/>
          <w:szCs w:val="20"/>
          <w:color w:val="auto"/>
        </w:rPr>
      </w:pPr>
    </w:p>
    <w:p>
      <w:pPr>
        <w:jc w:val="right"/>
        <w:ind w:left="5540" w:right="5520" w:hanging="5023"/>
        <w:spacing w:after="0" w:line="531" w:lineRule="auto"/>
        <w:tabs>
          <w:tab w:leader="none" w:pos="69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These exclusions are adjusted for redeemable noncontrolling interest.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We derive revenue from three sources: (i) marketplace revenue, which consists primarily of dealer subscriptions to our Listings packages and RPM digital advertising suite, advertising revenue from auto manufacturers and other auto</w:t>
      </w:r>
      <w:r>
        <w:rPr>
          <w:rFonts w:ascii="MS PGothic" w:cs="MS PGothic" w:eastAsia="MS PGothic" w:hAnsi="MS PGothic"/>
          <w:sz w:val="16"/>
          <w:szCs w:val="16"/>
          <w:color w:val="auto"/>
        </w:rPr>
        <w:t>‑</w:t>
      </w:r>
      <w:r>
        <w:rPr>
          <w:rFonts w:ascii="Arial" w:cs="Arial" w:eastAsia="Arial" w:hAnsi="Arial"/>
          <w:sz w:val="16"/>
          <w:szCs w:val="16"/>
          <w:color w:val="auto"/>
        </w:rPr>
        <w:t>related brand advertisers, and revenue from partnerships with financing services companies; (ii) wholesale revenue, which consists primarily of transaction fees earned by CarOffer from facilitating the purchase and sale of vehicles between dealers; and (iii) product revenue, which consists primarily of aggregate proceeds received on the sale of vehicles.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p>
    <w:p>
      <w:pPr>
        <w:spacing w:after="0" w:line="18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w:t>
      </w:r>
    </w:p>
    <w:p>
      <w:pPr>
        <w:spacing w:after="0" w:line="15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advertising products for the PistonHeads website.</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advertising products for the Autolist and PistonHeads websites.</w:t>
      </w:r>
    </w:p>
    <w:p>
      <w:pPr>
        <w:spacing w:after="0" w:line="212"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includes transaction fees earned by CarOffer from facilitating the purchase and sale of vehicles between dealers, where CarOffer collects fees from both the buyer and seller. CarOffer also sells vehicles to dealers that CarOffer acquires at other marketplaces – in these instances, CarOffer collects a transaction fee from the buyer.</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by CarOffer from performing inspection and transportation services, where CarOffer collects fees from the buyer. Inspection and transportation service revenue is inclusive of dealer to dealer transactions, other marketplace to dealer transactions, and customer to dealer transactions.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Wholesale revenue also includes fees earned by CarOffer from certain guarantees offered to dealers, where CarOffer collects fees from the buying dealer or selling dealer, as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Product Revenue</w:t>
      </w:r>
    </w:p>
    <w:p>
      <w:pPr>
        <w:spacing w:after="0" w:line="212" w:lineRule="exact"/>
        <w:rPr>
          <w:sz w:val="20"/>
          <w:szCs w:val="20"/>
          <w:color w:val="auto"/>
        </w:rPr>
      </w:pPr>
    </w:p>
    <w:p>
      <w:pPr>
        <w:jc w:val="both"/>
        <w:ind w:firstLine="509"/>
        <w:spacing w:after="0" w:line="295" w:lineRule="auto"/>
        <w:rPr>
          <w:sz w:val="20"/>
          <w:szCs w:val="20"/>
          <w:color w:val="auto"/>
        </w:rPr>
      </w:pPr>
      <w:r>
        <w:rPr>
          <w:rFonts w:ascii="Arial" w:cs="Arial" w:eastAsia="Arial" w:hAnsi="Arial"/>
          <w:sz w:val="16"/>
          <w:szCs w:val="16"/>
          <w:color w:val="auto"/>
        </w:rPr>
        <w:t>Product revenue includes the aggregate proceeds received on the sale of vehicles. This revenue relates to vehicles sold to dealers that CarOffer acquires directly from customers</w:t>
      </w:r>
      <w:r>
        <w:rPr>
          <w:rFonts w:ascii="Arial" w:cs="Arial" w:eastAsia="Arial" w:hAnsi="Arial"/>
          <w:sz w:val="17"/>
          <w:szCs w:val="17"/>
          <w:color w:val="auto"/>
        </w:rPr>
        <w:t>,</w:t>
      </w:r>
      <w:r>
        <w:rPr>
          <w:rFonts w:ascii="Arial" w:cs="Arial" w:eastAsia="Arial" w:hAnsi="Arial"/>
          <w:sz w:val="16"/>
          <w:szCs w:val="16"/>
          <w:color w:val="auto"/>
        </w:rPr>
        <w:t xml:space="preserve"> inclusive of transaction fees collected from the buyer, and in limited situations across all CarOffer transactions, vehicles CarOffer resells after acquiring a vehicle via arbitration. Arbitration is the process by which CarOffer investigates and resolves claims from buying dealers.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w:t>
      </w:r>
    </w:p>
    <w:p>
      <w:pPr>
        <w:spacing w:after="0" w:line="21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Marketplace cost of revenue includes expenses related to supporting and hosting digital product offerings. These expenses include personnel and related expenses for our customer support team, including salaries, benefits, incentive compensation, and stock-based compensation, third-party service provider expenses such as advertising, data center and networking expenses, depreciation expense associated with our property and equipment, amortization of developed technology, amortization of capitalized website development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Revenue</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Wholesale cost of revenue includes expenses related to supporting the facilitation of the purchase and sale of vehicles between dealers, the sale by CarOffer to dealers of vehicles that it acquires at other marketplaces, and net losses on vehicles related to guarantees offered to dealers. These expenses include vehicle transportation and inspection expenses,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Product cost of revenue includes expenses related to vehicles sold to dealers that CarOffer acquires directly from consumers, inclusive of transportation expenses, and in limited situations across all CarOffer transactions, in which CarOffer acquires the vehicle via arbitration. These expenses include expenses for vehicles in which CarOffer controls the vehicle and therefore acts as a principal in the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amortization of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the COVID-19 pandemic and changes in the macroeconomic and competitive landscapes affecting our existing dealers, consumer audience and brand awareness, which will impact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Product, technology, and development expenses, consist primarily of personnel and related expenses for our research and development team, including salaries, benefits, incentive compensation, stock-based compensation and allocated overhead expense. Other than website development and internal-use software expenses, research and development expenses are expensed as incurred. We expect product, technology, and development expenses to increase as we invest in additional engineering resourcing to develop new solutions and make improvements to our existing platform.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General and Administrative</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expenses associated with professional fees for external legal, accounting and other consulting services, insurance premiums, payment processing and billing expenses, and allocated overhead expenses. General and administrative expenses are expensed as incurred. We expect general and administrative expenses to increase as we continue to scale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 and internal-use software.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Other (expense) income, net consists primarily of net foreign exchange gains and losses and interest income earned on our cash, cash equivalents, and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For the three and six months ended June 30, 2022 and 2021, we have recognized a provision for income taxes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As of June 30, 2022 and December 31, 2021, our valuation allowance against our net deferred tax assets was immaterial.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three and six months ended June 30, 2022 and 2021, our Unaudited Condensed Consolidated Income Statements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in</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in</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Marketplace</w:t>
            </w:r>
          </w:p>
        </w:tc>
        <w:tc>
          <w:tcPr>
            <w:tcW w:w="7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163,926</w:t>
            </w:r>
          </w:p>
        </w:tc>
        <w:tc>
          <w:tcPr>
            <w:tcW w:w="260" w:type="dxa"/>
            <w:vAlign w:val="bottom"/>
          </w:tcPr>
          <w:p>
            <w:pPr>
              <w:spacing w:after="0"/>
              <w:rPr>
                <w:sz w:val="17"/>
                <w:szCs w:val="17"/>
                <w:color w:val="auto"/>
              </w:rPr>
            </w:pP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160,458</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327,215</w:t>
            </w:r>
          </w:p>
        </w:tc>
        <w:tc>
          <w:tcPr>
            <w:tcW w:w="220" w:type="dxa"/>
            <w:vAlign w:val="bottom"/>
          </w:tcPr>
          <w:p>
            <w:pPr>
              <w:spacing w:after="0"/>
              <w:rPr>
                <w:sz w:val="17"/>
                <w:szCs w:val="17"/>
                <w:color w:val="auto"/>
              </w:rPr>
            </w:pP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316,259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Wholesale</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75,937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53,514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166,931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67,317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Product</w:t>
            </w: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271,366</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447,691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revenue</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511,229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217,748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941,837</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389,116</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Marketplace</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13,257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11,311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25,466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22,299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Wholesale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46,518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35,226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104,700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46,352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w:t>
            </w:r>
          </w:p>
        </w:tc>
        <w:tc>
          <w:tcPr>
            <w:tcW w:w="4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263,603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3,780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441,945</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5,724</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tcPr>
          <w:p>
            <w:pPr>
              <w:ind w:left="280"/>
              <w:spacing w:after="0" w:line="196" w:lineRule="exact"/>
              <w:rPr>
                <w:sz w:val="20"/>
                <w:szCs w:val="20"/>
                <w:color w:val="auto"/>
              </w:rPr>
            </w:pPr>
            <w:r>
              <w:rPr>
                <w:rFonts w:ascii="Arial" w:cs="Arial" w:eastAsia="Arial" w:hAnsi="Arial"/>
                <w:sz w:val="18"/>
                <w:szCs w:val="18"/>
                <w:color w:val="auto"/>
              </w:rPr>
              <w:t>Total cost of revenue</w:t>
            </w: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323,378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50,317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572,111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74,375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187,851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167,431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369,726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314,741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95,605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66,135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183,186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134,309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Product, technology, and development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31,354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27,630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62,007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52,794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33,514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26,167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66,635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46,681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3,836</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7,697</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16,689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164,309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128,954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319,525</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250,473</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tcPr>
          <w:p>
            <w:pPr>
              <w:spacing w:after="0" w:line="196" w:lineRule="exact"/>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23,542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38,477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50,201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64,268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income, net</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(156 )</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(275 )</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23,386</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38,538</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49,926</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64,551</w:t>
            </w: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4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5,325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11,142</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13,027</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17,604</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tcPr>
          <w:p>
            <w:pPr>
              <w:spacing w:after="0" w:line="196" w:lineRule="exact"/>
              <w:rPr>
                <w:sz w:val="20"/>
                <w:szCs w:val="20"/>
                <w:color w:val="auto"/>
              </w:rPr>
            </w:pPr>
            <w:r>
              <w:rPr>
                <w:rFonts w:ascii="Arial" w:cs="Arial" w:eastAsia="Arial" w:hAnsi="Arial"/>
                <w:sz w:val="18"/>
                <w:szCs w:val="18"/>
                <w:color w:val="auto"/>
              </w:rPr>
              <w:t>Consolidated net income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18,061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27,396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36,899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46,947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Net loss attributable to redeemable noncontrolling interest</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(1,223 )</w:t>
            </w: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(656 )</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(2,295 )</w:t>
            </w: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(3,466 )</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CarGurus, Inc.</w:t>
            </w:r>
          </w:p>
        </w:tc>
        <w:tc>
          <w:tcPr>
            <w:tcW w:w="4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19,284</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28,052</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39,194</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50,413</w:t>
            </w: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-2491105</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-2491105</wp:posOffset>
            </wp:positionV>
            <wp:extent cx="6032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-2491105</wp:posOffset>
            </wp:positionV>
            <wp:extent cx="6032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-2491105</wp:posOffset>
            </wp:positionV>
            <wp:extent cx="6032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-1436370</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-1436370</wp:posOffset>
            </wp:positionV>
            <wp:extent cx="603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-1436370</wp:posOffset>
            </wp:positionV>
            <wp:extent cx="6032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-1436370</wp:posOffset>
            </wp:positionV>
            <wp:extent cx="6032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-1170940</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-1170940</wp:posOffset>
            </wp:positionV>
            <wp:extent cx="603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-1170940</wp:posOffset>
            </wp:positionV>
            <wp:extent cx="603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-1170940</wp:posOffset>
            </wp:positionV>
            <wp:extent cx="6032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-904875</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-904875</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-904875</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-904875</wp:posOffset>
            </wp:positionV>
            <wp:extent cx="603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-639445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-639445</wp:posOffset>
            </wp:positionV>
            <wp:extent cx="603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-639445</wp:posOffset>
            </wp:positionV>
            <wp:extent cx="603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ind w:right="60" w:firstLine="556"/>
        <w:spacing w:after="0" w:line="261" w:lineRule="auto"/>
        <w:rPr>
          <w:sz w:val="20"/>
          <w:szCs w:val="20"/>
          <w:color w:val="auto"/>
        </w:rPr>
      </w:pPr>
      <w:r>
        <w:rPr>
          <w:rFonts w:ascii="Arial" w:cs="Arial" w:eastAsia="Arial" w:hAnsi="Arial"/>
          <w:sz w:val="18"/>
          <w:szCs w:val="18"/>
          <w:color w:val="auto"/>
        </w:rPr>
        <w:t>For the three and six months ended June 30, 2022 and 2021, our Unaudited Condensed Consolidated Income Statements as a percentage of revenue are as follows (amounts in tables below may not sum due to rounding):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9"/>
          </w:tcPr>
          <w:p>
            <w:pPr>
              <w:jc w:val="right"/>
              <w:ind w:right="13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Marketplace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32 %</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35 %</w:t>
            </w:r>
          </w:p>
        </w:tc>
        <w:tc>
          <w:tcPr>
            <w:tcW w:w="200" w:type="dxa"/>
            <w:vAlign w:val="bottom"/>
          </w:tcPr>
          <w:p>
            <w:pPr>
              <w:spacing w:after="0"/>
              <w:rPr>
                <w:sz w:val="17"/>
                <w:szCs w:val="17"/>
                <w:color w:val="auto"/>
              </w:rPr>
            </w:pPr>
          </w:p>
        </w:tc>
        <w:tc>
          <w:tcPr>
            <w:tcW w:w="1420" w:type="dxa"/>
            <w:vAlign w:val="bottom"/>
            <w:gridSpan w:val="4"/>
          </w:tcPr>
          <w:p>
            <w:pPr>
              <w:jc w:val="right"/>
              <w:ind w:right="400"/>
              <w:spacing w:after="0" w:line="202" w:lineRule="exact"/>
              <w:rPr>
                <w:sz w:val="20"/>
                <w:szCs w:val="20"/>
                <w:color w:val="auto"/>
              </w:rPr>
            </w:pPr>
            <w:r>
              <w:rPr>
                <w:rFonts w:ascii="Arial" w:cs="Arial" w:eastAsia="Arial" w:hAnsi="Arial"/>
                <w:sz w:val="18"/>
                <w:szCs w:val="18"/>
                <w:color w:val="auto"/>
              </w:rPr>
              <w:t>81 %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Wholesale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Product</w:t>
            </w:r>
          </w:p>
        </w:tc>
        <w:tc>
          <w:tcPr>
            <w:tcW w:w="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revenue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Marketplace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Wholesale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w:t>
            </w:r>
          </w:p>
        </w:tc>
        <w:tc>
          <w:tcPr>
            <w:tcW w:w="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Pr>
          <w:p>
            <w:pPr>
              <w:ind w:left="280"/>
              <w:spacing w:after="0" w:line="196" w:lineRule="exact"/>
              <w:rPr>
                <w:sz w:val="20"/>
                <w:szCs w:val="20"/>
                <w:color w:val="auto"/>
              </w:rPr>
            </w:pPr>
            <w:r>
              <w:rPr>
                <w:rFonts w:ascii="Arial" w:cs="Arial" w:eastAsia="Arial" w:hAnsi="Arial"/>
                <w:sz w:val="18"/>
                <w:szCs w:val="18"/>
                <w:color w:val="auto"/>
              </w:rPr>
              <w:t>Total cost of revenue</w:t>
            </w:r>
          </w:p>
        </w:tc>
        <w:tc>
          <w:tcPr>
            <w:tcW w:w="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Product, technology, and development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Pr>
          <w:p>
            <w:pPr>
              <w:spacing w:after="0" w:line="196" w:lineRule="exact"/>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income, net</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(0 )</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(0 )</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5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Pr>
          <w:p>
            <w:pPr>
              <w:spacing w:after="0" w:line="196" w:lineRule="exact"/>
              <w:rPr>
                <w:sz w:val="20"/>
                <w:szCs w:val="20"/>
                <w:color w:val="auto"/>
              </w:rPr>
            </w:pPr>
            <w:r>
              <w:rPr>
                <w:rFonts w:ascii="Arial" w:cs="Arial" w:eastAsia="Arial" w:hAnsi="Arial"/>
                <w:sz w:val="18"/>
                <w:szCs w:val="18"/>
                <w:color w:val="auto"/>
              </w:rPr>
              <w:t>Consolidated net income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Net loss attributable to redeemable noncontrolling interest</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(0 )</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(0 )</w:t>
            </w:r>
          </w:p>
        </w:tc>
        <w:tc>
          <w:tcPr>
            <w:tcW w:w="20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(1 )</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Pr>
          <w:p>
            <w:pPr>
              <w:spacing w:after="0" w:line="196" w:lineRule="exact"/>
              <w:rPr>
                <w:sz w:val="20"/>
                <w:szCs w:val="20"/>
                <w:color w:val="auto"/>
              </w:rPr>
            </w:pPr>
            <w:r>
              <w:rPr>
                <w:rFonts w:ascii="Arial" w:cs="Arial" w:eastAsia="Arial" w:hAnsi="Arial"/>
                <w:sz w:val="18"/>
                <w:szCs w:val="18"/>
                <w:color w:val="auto"/>
              </w:rPr>
              <w:t>Net income attributable to CarGurus, Inc.</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4 %</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4 %</w:t>
            </w:r>
          </w:p>
        </w:tc>
        <w:tc>
          <w:tcPr>
            <w:tcW w:w="200" w:type="dxa"/>
            <w:vAlign w:val="bottom"/>
          </w:tcPr>
          <w:p>
            <w:pPr>
              <w:spacing w:after="0"/>
              <w:rPr>
                <w:sz w:val="17"/>
                <w:szCs w:val="17"/>
                <w:color w:val="auto"/>
              </w:rPr>
            </w:pPr>
          </w:p>
        </w:tc>
        <w:tc>
          <w:tcPr>
            <w:tcW w:w="1420" w:type="dxa"/>
            <w:vAlign w:val="bottom"/>
            <w:gridSpan w:val="4"/>
          </w:tcPr>
          <w:p>
            <w:pPr>
              <w:jc w:val="right"/>
              <w:ind w:right="400"/>
              <w:spacing w:after="0" w:line="196" w:lineRule="exact"/>
              <w:rPr>
                <w:sz w:val="20"/>
                <w:szCs w:val="20"/>
                <w:color w:val="auto"/>
              </w:rPr>
            </w:pPr>
            <w:r>
              <w:rPr>
                <w:rFonts w:ascii="Arial" w:cs="Arial" w:eastAsia="Arial" w:hAnsi="Arial"/>
                <w:sz w:val="18"/>
                <w:szCs w:val="18"/>
                <w:color w:val="auto"/>
              </w:rPr>
              <w:t>13 %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For the three months ended June 30, 2022 and 2021</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4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7"/>
            <w:vMerge w:val="restart"/>
          </w:tcPr>
          <w:p>
            <w:pPr>
              <w:jc w:val="right"/>
              <w:ind w:right="1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940" w:type="dxa"/>
            <w:vAlign w:val="bottom"/>
            <w:tcBorders>
              <w:top w:val="single" w:sz="8" w:color="auto"/>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3"/>
              </w:rPr>
              <w:t>2021</w:t>
            </w: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8"/>
          </w:tcPr>
          <w:p>
            <w:pPr>
              <w:jc w:val="right"/>
              <w:ind w:right="528"/>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Marketplace</w:t>
            </w:r>
          </w:p>
        </w:tc>
        <w:tc>
          <w:tcPr>
            <w:tcW w:w="1180" w:type="dxa"/>
            <w:vAlign w:val="bottom"/>
            <w:gridSpan w:val="3"/>
          </w:tcPr>
          <w:p>
            <w:pPr>
              <w:jc w:val="right"/>
              <w:ind w:right="402"/>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6"/>
              </w:rPr>
              <w:t>163,926</w:t>
            </w:r>
          </w:p>
        </w:tc>
        <w:tc>
          <w:tcPr>
            <w:tcW w:w="240" w:type="dxa"/>
            <w:vAlign w:val="bottom"/>
          </w:tcPr>
          <w:p>
            <w:pPr>
              <w:spacing w:after="0"/>
              <w:rPr>
                <w:sz w:val="17"/>
                <w:szCs w:val="17"/>
                <w:color w:val="auto"/>
              </w:rPr>
            </w:pPr>
          </w:p>
        </w:tc>
        <w:tc>
          <w:tcPr>
            <w:tcW w:w="440" w:type="dxa"/>
            <w:vAlign w:val="bottom"/>
          </w:tcPr>
          <w:p>
            <w:pPr>
              <w:jc w:val="right"/>
              <w:ind w:right="236"/>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160,458</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3,468</w:t>
            </w:r>
          </w:p>
        </w:tc>
        <w:tc>
          <w:tcPr>
            <w:tcW w:w="15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75,937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53,514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22,423</w:t>
            </w:r>
          </w:p>
        </w:tc>
        <w:tc>
          <w:tcPr>
            <w:tcW w:w="14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Product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6"/>
              </w:rPr>
              <w:t>271,366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3,776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267,590</w:t>
            </w: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7,087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600" w:type="dxa"/>
            <w:vAlign w:val="bottom"/>
            <w:gridSpan w:val="2"/>
          </w:tcPr>
          <w:p>
            <w:pPr>
              <w:spacing w:after="0"/>
              <w:rPr>
                <w:sz w:val="17"/>
                <w:szCs w:val="17"/>
                <w:color w:val="auto"/>
              </w:rPr>
            </w:pPr>
          </w:p>
        </w:tc>
        <w:tc>
          <w:tcPr>
            <w:tcW w:w="580" w:type="dxa"/>
            <w:vAlign w:val="bottom"/>
            <w:tcBorders>
              <w:top w:val="single" w:sz="8" w:color="auto"/>
              <w:bottom w:val="single" w:sz="8" w:color="auto"/>
            </w:tcBorders>
          </w:tcPr>
          <w:p>
            <w:pPr>
              <w:jc w:val="right"/>
              <w:ind w:right="402"/>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6"/>
              </w:rPr>
              <w:t>511,229</w:t>
            </w:r>
          </w:p>
        </w:tc>
        <w:tc>
          <w:tcPr>
            <w:tcW w:w="2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6"/>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217,748</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293,481</w:t>
            </w:r>
          </w:p>
        </w:tc>
        <w:tc>
          <w:tcPr>
            <w:tcW w:w="260" w:type="dxa"/>
            <w:vAlign w:val="bottom"/>
          </w:tcPr>
          <w:p>
            <w:pPr>
              <w:spacing w:after="0"/>
              <w:rPr>
                <w:sz w:val="17"/>
                <w:szCs w:val="17"/>
                <w:color w:val="auto"/>
              </w:rPr>
            </w:pPr>
          </w:p>
        </w:tc>
        <w:tc>
          <w:tcPr>
            <w:tcW w:w="116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135</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Percentage of total revenue:</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Marketplace</w:t>
            </w: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32 %</w:t>
            </w:r>
          </w:p>
        </w:tc>
        <w:tc>
          <w:tcPr>
            <w:tcW w:w="440" w:type="dxa"/>
            <w:vAlign w:val="bottom"/>
            <w:shd w:val="clear" w:color="auto" w:fill="CFF0FC"/>
          </w:tcPr>
          <w:p>
            <w:pPr>
              <w:spacing w:after="0"/>
              <w:rPr>
                <w:sz w:val="17"/>
                <w:szCs w:val="17"/>
                <w:color w:val="auto"/>
              </w:rPr>
            </w:pPr>
          </w:p>
        </w:tc>
        <w:tc>
          <w:tcPr>
            <w:tcW w:w="960" w:type="dxa"/>
            <w:vAlign w:val="bottom"/>
            <w:gridSpan w:val="4"/>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74 %</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Wholesale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w:t>
            </w:r>
          </w:p>
        </w:tc>
        <w:tc>
          <w:tcPr>
            <w:tcW w:w="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100 %</w:t>
            </w:r>
          </w:p>
        </w:tc>
        <w:tc>
          <w:tcPr>
            <w:tcW w:w="440" w:type="dxa"/>
            <w:vAlign w:val="bottom"/>
          </w:tcPr>
          <w:p>
            <w:pPr>
              <w:spacing w:after="0"/>
              <w:rPr>
                <w:sz w:val="17"/>
                <w:szCs w:val="17"/>
                <w:color w:val="auto"/>
              </w:rPr>
            </w:pPr>
          </w:p>
        </w:tc>
        <w:tc>
          <w:tcPr>
            <w:tcW w:w="96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-5165725</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-5165725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-5165725</wp:posOffset>
            </wp:positionV>
            <wp:extent cx="5969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-5165725</wp:posOffset>
            </wp:positionV>
            <wp:extent cx="6032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-4110990</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-4110990</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-4110990</wp:posOffset>
            </wp:positionV>
            <wp:extent cx="5969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-4110990</wp:posOffset>
            </wp:positionV>
            <wp:extent cx="6032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-3845560</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-3845560</wp:posOffset>
            </wp:positionV>
            <wp:extent cx="685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-3845560</wp:posOffset>
            </wp:positionV>
            <wp:extent cx="5969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-3845560</wp:posOffset>
            </wp:positionV>
            <wp:extent cx="6032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-3579495</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-3579495</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-3579495</wp:posOffset>
            </wp:positionV>
            <wp:extent cx="5969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-3579495</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-3314065</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-3314065</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-3314065</wp:posOffset>
            </wp:positionV>
            <wp:extent cx="5969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-3314065</wp:posOffset>
            </wp:positionV>
            <wp:extent cx="603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-639445</wp:posOffset>
            </wp:positionV>
            <wp:extent cx="7747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-639445</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30" w:name="page31"/>
    <w:bookmarkEnd w:id="30"/>
    <w:p>
      <w:pPr>
        <w:ind w:left="520"/>
        <w:spacing w:after="0"/>
        <w:rPr>
          <w:sz w:val="20"/>
          <w:szCs w:val="20"/>
          <w:color w:val="auto"/>
        </w:rPr>
      </w:pPr>
      <w:r>
        <w:rPr>
          <w:rFonts w:ascii="Arial" w:cs="Arial" w:eastAsia="Arial" w:hAnsi="Arial"/>
          <w:sz w:val="16"/>
          <w:szCs w:val="16"/>
          <w:color w:val="auto"/>
        </w:rPr>
        <w:t>Overall revenue increased $293.5 million, or 135%, in the three months ended June 30, 2022 compared to the three months ended June 30, 2021.</w:t>
      </w:r>
    </w:p>
    <w:p>
      <w:pPr>
        <w:spacing w:after="0" w:line="235" w:lineRule="exact"/>
        <w:rPr>
          <w:sz w:val="20"/>
          <w:szCs w:val="20"/>
          <w:color w:val="auto"/>
        </w:rPr>
      </w:pPr>
    </w:p>
    <w:p>
      <w:pPr>
        <w:jc w:val="both"/>
        <w:ind w:right="60" w:firstLine="509"/>
        <w:spacing w:after="0" w:line="241" w:lineRule="auto"/>
        <w:rPr>
          <w:sz w:val="20"/>
          <w:szCs w:val="20"/>
          <w:color w:val="auto"/>
        </w:rPr>
      </w:pPr>
      <w:r>
        <w:rPr>
          <w:rFonts w:ascii="Arial" w:cs="Arial" w:eastAsia="Arial" w:hAnsi="Arial"/>
          <w:sz w:val="18"/>
          <w:szCs w:val="18"/>
          <w:color w:val="auto"/>
        </w:rPr>
        <w:t>Marketplace revenue increased $3.5 million, or 2%, in the three months ended June 30, 2022 compared to the three months ended June 30, 2021 and represented 32% of total revenue for the three months ended June 30, 2022 and 74% of total revenue for the three months ended June 30, 2021. The increase in marketplace revenue was due in part to a 4% growth in our QARSD for paying dealers to $4,862 at June 30, 2022 from $4,657 at June 30, 2021. The increase in QARSD was due primarily to signing on new dealers with higher average monthly recurring revenue and revenue expansion through product upgrades for existing dealers.</w:t>
      </w:r>
    </w:p>
    <w:p>
      <w:pPr>
        <w:spacing w:after="0" w:line="189"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Wholesale revenue increased $22.4 million, or 42%, in the three months ended June 30, 2022 compared to the three months ended June 30, 2021 and represented 15% of total revenue for the three months ended June 30, 2022 and 25% of total revenue for the three months ended June 30, 2021. The increase was primarily due to an increase in transactions, including increases in transportation and inspection fees, and guarantee revenue.</w:t>
      </w:r>
    </w:p>
    <w:p>
      <w:pPr>
        <w:spacing w:after="0" w:line="147" w:lineRule="exact"/>
        <w:rPr>
          <w:sz w:val="20"/>
          <w:szCs w:val="20"/>
          <w:color w:val="auto"/>
        </w:rPr>
      </w:pPr>
    </w:p>
    <w:p>
      <w:pPr>
        <w:jc w:val="both"/>
        <w:ind w:right="60" w:firstLine="509"/>
        <w:spacing w:after="0" w:line="267" w:lineRule="auto"/>
        <w:rPr>
          <w:sz w:val="20"/>
          <w:szCs w:val="20"/>
          <w:color w:val="auto"/>
        </w:rPr>
      </w:pPr>
      <w:r>
        <w:rPr>
          <w:rFonts w:ascii="Arial" w:cs="Arial" w:eastAsia="Arial" w:hAnsi="Arial"/>
          <w:sz w:val="16"/>
          <w:szCs w:val="16"/>
          <w:color w:val="auto"/>
        </w:rPr>
        <w:t>Product revenue increased by $267.6 million, or 7,087%, in the three months ended June 30, 2022 compared to the three months ended June 30, 2021 and represented 53% of total revenue for the three months ended June 30, 2022 and 2% of total revenue for the three months ended June 30, 2021. The increase was primarily due to the launch of our consumer to dealer offering, CarGurus Instant Max Cash Offer, or IMCO, which resulted in a $248.1 million increase in proceeds and buy fees received on the sale of vehicles acquired by CarOffer directly from customers. The increase was also due in part</w:t>
      </w:r>
    </w:p>
    <w:p>
      <w:pPr>
        <w:spacing w:after="0" w:line="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to a $29.4 million increase in proceeds received from the sale of vehicles acquired via arbitration</w:t>
      </w:r>
      <w:r>
        <w:rPr>
          <w:rFonts w:ascii="Arial" w:cs="Arial" w:eastAsia="Arial" w:hAnsi="Arial"/>
          <w:sz w:val="21"/>
          <w:szCs w:val="21"/>
          <w:color w:val="auto"/>
        </w:rPr>
        <w:t>.</w:t>
      </w:r>
      <w:r>
        <w:rPr>
          <w:rFonts w:ascii="Arial" w:cs="Arial" w:eastAsia="Arial" w:hAnsi="Arial"/>
          <w:sz w:val="18"/>
          <w:szCs w:val="18"/>
          <w:color w:val="auto"/>
        </w:rPr>
        <w:t xml:space="preserve"> The increase in product revenue was offset in part by a $9.9 million increase in sales allowance.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Cost of Revenue:</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Marketplace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13,257</w:t>
            </w:r>
          </w:p>
        </w:tc>
        <w:tc>
          <w:tcPr>
            <w:tcW w:w="26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11,311</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1,946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46,518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35,226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263,603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259,823</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323,378</w:t>
            </w:r>
          </w:p>
        </w:tc>
        <w:tc>
          <w:tcPr>
            <w:tcW w:w="26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50,317</w:t>
            </w:r>
          </w:p>
        </w:tc>
        <w:tc>
          <w:tcPr>
            <w:tcW w:w="240" w:type="dxa"/>
            <w:vAlign w:val="bottom"/>
          </w:tcPr>
          <w:p>
            <w:pPr>
              <w:spacing w:after="0"/>
              <w:rPr>
                <w:sz w:val="17"/>
                <w:szCs w:val="17"/>
                <w:color w:val="auto"/>
              </w:rPr>
            </w:pP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273,061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543</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Percentage of total revenue:</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Marketplace</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3 %</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5 %</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Wholesale</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63 %</w:t>
            </w:r>
          </w:p>
        </w:tc>
        <w:tc>
          <w:tcPr>
            <w:tcW w:w="300" w:type="dxa"/>
            <w:vAlign w:val="bottom"/>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23 %</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wp:posOffset>
            </wp:positionV>
            <wp:extent cx="7683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Overall cost of revenue increased $273.1 million, or 543%, in the three months ended June 30, 2022 compared to the three months ended June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6" w:lineRule="exact"/>
        <w:rPr>
          <w:sz w:val="20"/>
          <w:szCs w:val="20"/>
          <w:color w:val="auto"/>
        </w:rPr>
      </w:pPr>
    </w:p>
    <w:p>
      <w:pPr>
        <w:jc w:val="both"/>
        <w:ind w:right="60" w:firstLine="509"/>
        <w:spacing w:after="0" w:line="243" w:lineRule="auto"/>
        <w:rPr>
          <w:sz w:val="20"/>
          <w:szCs w:val="20"/>
          <w:color w:val="auto"/>
        </w:rPr>
      </w:pPr>
      <w:r>
        <w:rPr>
          <w:rFonts w:ascii="Arial" w:cs="Arial" w:eastAsia="Arial" w:hAnsi="Arial"/>
          <w:sz w:val="18"/>
          <w:szCs w:val="18"/>
          <w:color w:val="auto"/>
        </w:rPr>
        <w:t>Marketplace cost of revenue increased $1.9 million, or 17%, in the three months ended June 30, 2022 compared to the three months ended June 30, 2021 and represented 3% of total revenue for the three months ended June 30, 2022 and 5% of total revenue for the three months ended June 30, 2021. The increase was primarily due to a $1.0 million increase in fees related to provisioning advertising campaigns on our websites and a $0.4 million increase in data and hosting costs.</w:t>
      </w:r>
    </w:p>
    <w:p>
      <w:pPr>
        <w:spacing w:after="0" w:line="188" w:lineRule="exact"/>
        <w:rPr>
          <w:sz w:val="20"/>
          <w:szCs w:val="20"/>
          <w:color w:val="auto"/>
        </w:rPr>
      </w:pPr>
    </w:p>
    <w:p>
      <w:pPr>
        <w:jc w:val="both"/>
        <w:ind w:right="60" w:firstLine="509"/>
        <w:spacing w:after="0" w:line="262" w:lineRule="auto"/>
        <w:rPr>
          <w:sz w:val="20"/>
          <w:szCs w:val="20"/>
          <w:color w:val="auto"/>
        </w:rPr>
      </w:pPr>
      <w:r>
        <w:rPr>
          <w:rFonts w:ascii="Arial" w:cs="Arial" w:eastAsia="Arial" w:hAnsi="Arial"/>
          <w:sz w:val="17"/>
          <w:szCs w:val="17"/>
          <w:color w:val="auto"/>
        </w:rPr>
        <w:t>Wholesale cost of revenue increased $11.3 million, or 32%, in the three months ended June 30, 2022 compared to the three months ended June 30, 2021 and represented 9% of total revenue for the three months ended June 30, 2022 and 16% of total revenue for the three months ended June 30, 2021. The increase was primarily due an increase in expenses as a result of increased transactions, inclusive of amortization of developed technology and capitalized website development, transportation expenses, inspection expenses and salaries and employee-related expenses.</w:t>
      </w:r>
    </w:p>
    <w:p>
      <w:pPr>
        <w:spacing w:after="0" w:line="172"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Product cost of revenue increased $259.8 million, or 6,874%, in the three months ended June 30, 2022 compared to the three months ended June 30, 2021 and represented 52% of the total revenue for the three months ended June 30, 2022 and 2% of total revenue for the three months ended June 30, 2021. The increase was primarily due to the launch of IMCO, which resulted in a $227.8 million increase in expenses related to vehicles acquired by CarOffer directly from customers. The increase was also due in part to a $32.0 million increase in expenses related to vehicles acquired via arbitration.</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4"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95,605</w:t>
            </w:r>
          </w:p>
        </w:tc>
        <w:tc>
          <w:tcPr>
            <w:tcW w:w="26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66,135</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29,470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c>
          <w:tcPr>
            <w:tcW w:w="3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30 %</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2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54"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7"/>
          <w:szCs w:val="17"/>
          <w:color w:val="auto"/>
        </w:rPr>
        <w:t>Sales and marketing expenses increased $29.5 million, or 45%, in the three months ended June 30, 2022 compared to the three months ended June 30, 2021. The increase was due primarily to a $18.4 million increase in advertising and marketing expenses, primarily related to efforts to increase site traffic, expand brand awareness and the marketing of our consumer to dealer product. The increase in sales and marketing expenses was also due in part to a $6.4 million increase in salaries and employee-related expense, exclusive of commissions expense, which increased $1.7 million. The increase in salaries and employee-related expense was due primarily a 32% increase in headcount. The increase in commissions expense was due to the increase in headcount and sales growth. The increase was also due in part to a $0.7 million increase in consulting expense, a $0.7 million increase in software subscription expense, and a $0.4 million increase in travel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Product, technology, and development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31,354</w:t>
            </w:r>
          </w:p>
        </w:tc>
        <w:tc>
          <w:tcPr>
            <w:tcW w:w="26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27,630</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3,724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4" w:lineRule="exact"/>
        <w:rPr>
          <w:sz w:val="20"/>
          <w:szCs w:val="20"/>
          <w:color w:val="auto"/>
        </w:rPr>
      </w:pPr>
    </w:p>
    <w:p>
      <w:pPr>
        <w:jc w:val="both"/>
        <w:ind w:right="100" w:firstLine="509"/>
        <w:spacing w:after="0" w:line="241" w:lineRule="auto"/>
        <w:rPr>
          <w:sz w:val="20"/>
          <w:szCs w:val="20"/>
          <w:color w:val="auto"/>
        </w:rPr>
      </w:pPr>
      <w:r>
        <w:rPr>
          <w:rFonts w:ascii="Arial" w:cs="Arial" w:eastAsia="Arial" w:hAnsi="Arial"/>
          <w:sz w:val="18"/>
          <w:szCs w:val="18"/>
          <w:color w:val="auto"/>
        </w:rPr>
        <w:t>Product, technology, and development expenses increased $3.7 million, or 13%, in the three months ended June 30, 2022 compared to the three months ended June 30, 2021. The increase was due primarily to a $4.2 million increase in salaries and employee-related expense. The increase in salaries and employee-related expense was due primarily to a 17% increase in headcount. The increase was also due in part to a $0.3 million increase in software subscription expense. The increase in product, technology, and development expenses was offset in part by a $1.6 million decrease resulting from increased capitalizable projects.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33,514</w:t>
            </w:r>
          </w:p>
        </w:tc>
        <w:tc>
          <w:tcPr>
            <w:tcW w:w="26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26,167</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7,347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3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4" w:lineRule="exact"/>
        <w:rPr>
          <w:sz w:val="20"/>
          <w:szCs w:val="20"/>
          <w:color w:val="auto"/>
        </w:rPr>
      </w:pPr>
    </w:p>
    <w:p>
      <w:pPr>
        <w:jc w:val="both"/>
        <w:ind w:right="100" w:firstLine="509"/>
        <w:spacing w:after="0"/>
        <w:rPr>
          <w:sz w:val="20"/>
          <w:szCs w:val="20"/>
          <w:color w:val="auto"/>
        </w:rPr>
      </w:pPr>
      <w:r>
        <w:rPr>
          <w:rFonts w:ascii="Arial" w:cs="Arial" w:eastAsia="Arial" w:hAnsi="Arial"/>
          <w:sz w:val="18"/>
          <w:szCs w:val="18"/>
          <w:color w:val="auto"/>
        </w:rPr>
        <w:t>General and administrative expenses increased $7.3 million, or 28%, in the three months ended June 30, 2022 compared to the three months ended June 30, 2021. The increase was due primarily to a $1.5 million increase in salaries and employee-related expense, exclusive of stock-based compensation expense, which increased $3.5 million. The increase in salaries and employee-related expense was due primarily to a 31% increase in headcount. The increase in stock-based compensation expense was due primarily to the revaluation of certain liability-based stock awards. The increase was also due in part to a $0.5 million increase in bad debt expense, $0.4 million in tax expense, $0.3 million increase in software subscription expense, and $0.3 million increase in consulting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0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6"/>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3,836</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9,022</w:t>
            </w:r>
          </w:p>
        </w:tc>
        <w:tc>
          <w:tcPr>
            <w:tcW w:w="24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(5,186 )</w:t>
            </w:r>
          </w:p>
        </w:tc>
        <w:tc>
          <w:tcPr>
            <w:tcW w:w="34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38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571" w:right="239" w:bottom="1440" w:gutter="0" w:footer="0" w:header="0"/>
        </w:sectPr>
      </w:pPr>
    </w:p>
    <w:bookmarkStart w:id="32" w:name="page33"/>
    <w:bookmarkEnd w:id="32"/>
    <w:p>
      <w:pPr>
        <w:jc w:val="both"/>
        <w:ind w:right="100" w:firstLine="509"/>
        <w:spacing w:after="0"/>
        <w:rPr>
          <w:sz w:val="20"/>
          <w:szCs w:val="20"/>
          <w:color w:val="auto"/>
        </w:rPr>
      </w:pPr>
      <w:r>
        <w:rPr>
          <w:rFonts w:ascii="Arial" w:cs="Arial" w:eastAsia="Arial" w:hAnsi="Arial"/>
          <w:sz w:val="18"/>
          <w:szCs w:val="18"/>
          <w:color w:val="auto"/>
        </w:rPr>
        <w:t>Depreciation and amortization expenses decreased $5.2 million, or 57%, in the three months ended June 30, 2022 compared to the three months ended June 30, 2021, due primarily to a reclassification of amortization of acquired developed technology intangible assets to cost of revenue in the beginning of the fourth quarter of fiscal year 2021. We had previously recorded amortization expense as a component of operating expenses but given the underlying nature of the asset we believe the amortization more closely aligns with cost of goods sold. We assessed the materiality of this reclassification on the historical financial statements, individually and in aggregate, and concluded the effect of the reclassification was not material to our Unaudited Condensed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50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gridSpan w:val="6"/>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(156 )   $</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(217 )</w:t>
            </w: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4" w:lineRule="exact"/>
        <w:rPr>
          <w:sz w:val="20"/>
          <w:szCs w:val="20"/>
          <w:color w:val="auto"/>
        </w:rPr>
      </w:pPr>
    </w:p>
    <w:p>
      <w:pPr>
        <w:jc w:val="both"/>
        <w:ind w:right="120" w:firstLine="509"/>
        <w:spacing w:after="0" w:line="261" w:lineRule="auto"/>
        <w:rPr>
          <w:sz w:val="20"/>
          <w:szCs w:val="20"/>
          <w:color w:val="auto"/>
        </w:rPr>
      </w:pPr>
      <w:r>
        <w:rPr>
          <w:rFonts w:ascii="Arial" w:cs="Arial" w:eastAsia="Arial" w:hAnsi="Arial"/>
          <w:sz w:val="18"/>
          <w:szCs w:val="18"/>
          <w:color w:val="auto"/>
        </w:rPr>
        <w:t>Total other (expense) income, net decreased an immaterial amount in the three months ended June 30, 2022 compared to the three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0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6"/>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5,325</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11,142</w:t>
            </w:r>
          </w:p>
        </w:tc>
        <w:tc>
          <w:tcPr>
            <w:tcW w:w="24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(5,817 )</w:t>
            </w:r>
          </w:p>
        </w:tc>
        <w:tc>
          <w:tcPr>
            <w:tcW w:w="3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4"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7"/>
          <w:szCs w:val="17"/>
          <w:color w:val="auto"/>
        </w:rPr>
        <w:t>Provision for income taxes decreased $5.8 million, or 52%, in the three months ended June 30, 2022 compared to the three months ended June 30, 2021 due primarily to decreased profitability. Additionally, there was an immaterial amount of tax expense related to shortfalls on the taxable compensation of share-based awards and the Section 162(m) excess officer compensation limitation recorded during the three months ended June 30, 2022, compared to an aggregated $1.2 million tax expenses related to shortfalls on the taxable compensation of share-based awards and the Section 162(m) excess officer compensation limitation recorded during the three months ended June 30, 2021.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2022 and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right"/>
              <w:ind w:right="808"/>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2"/>
              </w:rPr>
              <w:t>thousands)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327,215</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316,259</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10,956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166,931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67,317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99,614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447,691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442,151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7,981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941,837</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389,116</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552,721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35 %</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81 %</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100 %</w:t>
            </w:r>
          </w:p>
        </w:tc>
        <w:tc>
          <w:tcPr>
            <w:tcW w:w="280" w:type="dxa"/>
            <w:vAlign w:val="bottom"/>
          </w:tcPr>
          <w:p>
            <w:pPr>
              <w:spacing w:after="0"/>
              <w:rPr>
                <w:sz w:val="17"/>
                <w:szCs w:val="17"/>
                <w:color w:val="auto"/>
              </w:rPr>
            </w:pPr>
          </w:p>
        </w:tc>
        <w:tc>
          <w:tcPr>
            <w:tcW w:w="104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-831215</wp:posOffset>
            </wp:positionV>
            <wp:extent cx="641223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-159385</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-159385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Overall revenue increased $552.7 million, or 142%, in the six months ended June 30, 2022 compared to the six months ended June 30, 2021.</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4" w:right="239" w:bottom="1440" w:gutter="0" w:footer="0" w:header="0"/>
        </w:sectPr>
      </w:pPr>
    </w:p>
    <w:bookmarkStart w:id="33" w:name="page34"/>
    <w:bookmarkEnd w:id="33"/>
    <w:p>
      <w:pPr>
        <w:jc w:val="both"/>
        <w:ind w:firstLine="509"/>
        <w:spacing w:after="0" w:line="241" w:lineRule="auto"/>
        <w:rPr>
          <w:sz w:val="20"/>
          <w:szCs w:val="20"/>
          <w:color w:val="auto"/>
        </w:rPr>
      </w:pPr>
      <w:r>
        <w:rPr>
          <w:rFonts w:ascii="Arial" w:cs="Arial" w:eastAsia="Arial" w:hAnsi="Arial"/>
          <w:sz w:val="18"/>
          <w:szCs w:val="18"/>
          <w:color w:val="auto"/>
        </w:rPr>
        <w:t>Marketplace revenue increased $11.0 million, or 3%, in the six months ended June 30, 2022 compared to the six months ended June 30, 2021 and represented 35% of total revenue for the six months ended June 30, 2022 and 81% of total revenue for the six months ended June 30, 2021. The increase in marketplace revenue was due in part to a 4% growth in our QARSD for paying dealers to $4,862 at June 30, 2022 from $4,657 at June 30, 2021. The increase in QARSD was due primarily to signing on new dealers with higher average monthly recurring revenue and revenue expansion through product upgrades for existing dealers.</w:t>
      </w:r>
    </w:p>
    <w:p>
      <w:pPr>
        <w:spacing w:after="0" w:line="18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Wholesale revenue increased $99.6 million, or 148%, in the six months ended June 30, 2022 compared to the six months ended June 30, 2021 and represented 18% of total revenue for the six months ended June 30, 2022 and 17% of total revenue for the six months ended June 30, 2021. The increase was primarily due to an increase in transactions, including increases in transportation and inspection fees, and guarantee revenue.</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Product revenue increased by $442.2 million, or 7,981%, in the six months ended June 30, 2022 compared to the six months ended June 30, 2021 and represented 48% of total revenue for the six months ended June 30, 2022 and 1% of total revenue for the six months ended June 30, 2021. The increase was primarily due to the launch of IMCO, which resulted in a $399.8 million increase in proceeds and buy fees received on the sale of vehicles acquired by CarOffer directly from customers. The increase was also due in part to a $52.3 million increase in proceeds received from the sale of vehicles acquired via arbitration. The increase in product revenue was offset in part by a $9.9 million increase in sales allowance.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220" w:type="dxa"/>
            <w:vAlign w:val="bottom"/>
          </w:tcPr>
          <w:p>
            <w:pPr>
              <w:spacing w:after="0"/>
              <w:rPr>
                <w:sz w:val="14"/>
                <w:szCs w:val="14"/>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Cost of 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25,466</w:t>
            </w:r>
          </w:p>
        </w:tc>
        <w:tc>
          <w:tcPr>
            <w:tcW w:w="24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22,299</w:t>
            </w:r>
          </w:p>
        </w:tc>
        <w:tc>
          <w:tcPr>
            <w:tcW w:w="22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3,167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104,700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46,352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58,348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441,945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436,221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572,111</w:t>
            </w:r>
          </w:p>
        </w:tc>
        <w:tc>
          <w:tcPr>
            <w:tcW w:w="240" w:type="dxa"/>
            <w:vAlign w:val="bottom"/>
          </w:tcPr>
          <w:p>
            <w:pPr>
              <w:spacing w:after="0"/>
              <w:rPr>
                <w:sz w:val="17"/>
                <w:szCs w:val="17"/>
                <w:color w:val="auto"/>
              </w:rPr>
            </w:pP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74,375</w:t>
            </w:r>
          </w:p>
        </w:tc>
        <w:tc>
          <w:tcPr>
            <w:tcW w:w="22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497,736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669</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61 %</w:t>
            </w:r>
          </w:p>
        </w:tc>
        <w:tc>
          <w:tcPr>
            <w:tcW w:w="280" w:type="dxa"/>
            <w:vAlign w:val="bottom"/>
          </w:tcPr>
          <w:p>
            <w:pPr>
              <w:spacing w:after="0"/>
              <w:rPr>
                <w:sz w:val="17"/>
                <w:szCs w:val="17"/>
                <w:color w:val="auto"/>
              </w:rPr>
            </w:pP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19 %</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-159385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-159385</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Overall cost of revenue increased $497.7 million, or 669%, in the six months ended June 30, 2022 compared to the six months ended June 30, 2021.</w:t>
      </w:r>
    </w:p>
    <w:p>
      <w:pPr>
        <w:spacing w:after="0" w:line="23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Marketplace cost of revenue increased $3.2 million, or 14%, in the six months ended June 30, 2022 compared to the six months ended June 30, 2021 and represented 3% of total revenue for the six months ended June 30, 2022 and 6% of total revenue for the six months ended June 30, 2021. The increase was primarily due to a $1.3 million increase in fees related to provisioning advertising campaigns on our websites and a $0.9 million increase in data and hosting costs.</w:t>
      </w:r>
    </w:p>
    <w:p>
      <w:pPr>
        <w:spacing w:after="0" w:line="18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Wholesale cost of revenue increased $58.3 million, or 126%, in the six months ended June 30, 2022 compared to the six months ended June 30, 2021 and represented 11% of total revenue for the six months ended June 30, 2022 and 12% of total revenue for the six months ended June 30, 2021. The increase was primarily due to an increase in expenses as a result of increased transactions, inclusive of transportation expenses, amortization of developed technology and capitalized website development, inspection expenses and salaries and employee-related expenses.</w:t>
      </w:r>
    </w:p>
    <w:p>
      <w:pPr>
        <w:spacing w:after="0" w:line="17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Product cost of revenue increased $436.2 million, or 7,621%, in the six months ended June 30, 2022 compared to the six months ended June 30, 2021 and represented 47% of the total revenue for the six months ended June 30, 2022 and 1% of total revenue for the six months ended June 30, 2021. The increase was primarily due to the launch of IMCO, which resulted in a $373.5 million increase in expenses related to vehicles acquired by CarOffer directly from customers. The increase was also due, in part, to a $62.7 million increase in expenses related to vehicles acquired via arbitration.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center"/>
              <w:ind w:right="448"/>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w w:val="92"/>
              </w:rPr>
              <w:t>thousands)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183,186</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134,309</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48,877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19 %</w:t>
            </w:r>
          </w:p>
        </w:tc>
        <w:tc>
          <w:tcPr>
            <w:tcW w:w="280" w:type="dxa"/>
            <w:vAlign w:val="bottom"/>
          </w:tcPr>
          <w:p>
            <w:pPr>
              <w:spacing w:after="0"/>
              <w:rPr>
                <w:sz w:val="20"/>
                <w:szCs w:val="20"/>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35 %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-274320</wp:posOffset>
            </wp:positionV>
            <wp:extent cx="641223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35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Sales and marketing expenses increased $48.9 million, or 36%, in the six months ended June 30, 2022 compared to the six months ended June 30, 2021. The increase was due primarily to a $21.9 million increase in advertising and marketing expenses, primarily related to efforts to increase site traffic, expand brand awareness and the marketing of our consumer to dealer product. The increase in sales and marketing expenses was also due in part to a $13.9 million increase in salaries and employee-related expense, exclusive of commissions expense, which increased $8.2 million. The increase in salaries and employee-related expense was due primarily a 32% increase in headcount. The increase in commissions expense was due to the increase in headcount and sales growth. The increase in sales and marketing expenses was also due in part to a $1.3 million increase in consulting expense, a $1.3 million increase in software subscription expense, a $0.6 million increase in travel expenses, a $0.4 million increase in insurance expense, and a $0.4 million increase in rent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3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220" w:type="dxa"/>
            <w:vAlign w:val="bottom"/>
          </w:tcPr>
          <w:p>
            <w:pPr>
              <w:spacing w:after="0"/>
              <w:rPr>
                <w:sz w:val="14"/>
                <w:szCs w:val="14"/>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Product, technology,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62,007</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52,794</w:t>
            </w:r>
          </w:p>
        </w:tc>
        <w:tc>
          <w:tcPr>
            <w:tcW w:w="220" w:type="dxa"/>
            <w:vAlign w:val="bottom"/>
          </w:tcPr>
          <w:p>
            <w:pPr>
              <w:spacing w:after="0"/>
              <w:rPr>
                <w:sz w:val="17"/>
                <w:szCs w:val="17"/>
                <w:color w:val="auto"/>
              </w:rPr>
            </w:pP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9,213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-274320</wp:posOffset>
            </wp:positionV>
            <wp:extent cx="641223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35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Product, technology, and development expenses increased $9.2 million, or 17%, in the six months ended June 30, 2022 compared to the six months ended June 30, 2021. The increase was due primarily to a $10.9 million increase in salaries and employee-related expense. The increase in salaries and employee-related expense was due primarily to a 17% increase in headcount. The increase was also due in part to a $0.6 million increase in software subscription expense and a $0.3 million increase in consulting expense. The increase in product, technology, and development expenses was offset in part by a $3.7 million decrease resulting from increased capitalizable projects.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center"/>
              <w:ind w:right="448"/>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w w:val="92"/>
              </w:rPr>
              <w:t>thousands)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66,635</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46,681</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19,954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20"/>
                <w:szCs w:val="20"/>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-274320</wp:posOffset>
            </wp:positionV>
            <wp:extent cx="641223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35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General and administrative expenses increased $20.0 million, or 43%, in the six months ended June 30, 2022 compared to the six months ended June 30, 2021. The increase was due primarily to a $3.3 million increase in salaries and employee-related expense, exclusive of stock-based compensation expense, which increased $14.1 million. The increase in salaries and employee-related expense was due primarily to a 31% increase in headcount. The increase in stock-based compensation expense was due primarily to the revaluation of certain liability-based stock awards. The increase was also due in part to $0.6 million in tax expense, a $0.5 million increase in software subscription expense, a $0.3 million increase in travel expenses, and a $0.2 million increase in bad debt expense.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center"/>
              <w:ind w:right="438"/>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40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20" w:type="dxa"/>
            <w:vAlign w:val="bottom"/>
          </w:tcPr>
          <w:p>
            <w:pPr>
              <w:jc w:val="right"/>
              <w:ind w:right="58"/>
              <w:spacing w:after="0"/>
              <w:rPr>
                <w:sz w:val="20"/>
                <w:szCs w:val="20"/>
                <w:color w:val="auto"/>
              </w:rPr>
            </w:pPr>
            <w:r>
              <w:rPr>
                <w:rFonts w:ascii="Arial" w:cs="Arial" w:eastAsia="Arial" w:hAnsi="Arial"/>
                <w:sz w:val="12"/>
                <w:szCs w:val="12"/>
                <w:b w:val="1"/>
                <w:bCs w:val="1"/>
                <w:color w:val="auto"/>
                <w:w w:val="74"/>
              </w:rPr>
              <w:t>in</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7,697</w:t>
            </w:r>
          </w:p>
        </w:tc>
        <w:tc>
          <w:tcPr>
            <w:tcW w:w="240" w:type="dxa"/>
            <w:vAlign w:val="bottom"/>
          </w:tcPr>
          <w:p>
            <w:pPr>
              <w:spacing w:after="0"/>
              <w:rPr>
                <w:sz w:val="17"/>
                <w:szCs w:val="17"/>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16,689</w:t>
            </w:r>
          </w:p>
        </w:tc>
        <w:tc>
          <w:tcPr>
            <w:tcW w:w="2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(8,992 )</w:t>
            </w:r>
          </w:p>
        </w:tc>
        <w:tc>
          <w:tcPr>
            <w:tcW w:w="3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-274320</wp:posOffset>
            </wp:positionV>
            <wp:extent cx="641223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Depreciation and amortization expenses decreased $9.0 million, or 54%, in the six months ended June 30, 2022 compared to the six months ended June 30, 2021, due primarily to a reclassification of amortization of acquired developed technology intangible assets to cost of revenue in the beginning of the fourth quarter of fiscal year 2021. We had previously recorded amortization expense as a component of operating expenses but given the underlying nature of the asset we believe the amortization more closely aligns with cost of goods sold. We assessed the materiality of this reclassification on the historical financial statements, individually and in aggregate, and concluded the effect of the reclassification was not material to our Unaudited Condensed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88"/>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3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(275 )  $</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1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(558 )</w:t>
            </w:r>
          </w:p>
        </w:tc>
        <w:tc>
          <w:tcPr>
            <w:tcW w:w="3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(0 )%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-274320</wp:posOffset>
            </wp:positionV>
            <wp:extent cx="641223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Total other (expense) income, net decreased an immaterial amount in the six months ended June 30, 2022 compared to the six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8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13,027</w:t>
            </w:r>
          </w:p>
        </w:tc>
        <w:tc>
          <w:tcPr>
            <w:tcW w:w="2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17,604</w:t>
            </w:r>
          </w:p>
        </w:tc>
        <w:tc>
          <w:tcPr>
            <w:tcW w:w="1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(4,577 )</w:t>
            </w:r>
          </w:p>
        </w:tc>
        <w:tc>
          <w:tcPr>
            <w:tcW w:w="3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-274320</wp:posOffset>
            </wp:positionV>
            <wp:extent cx="641223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Provision for income taxes decreased $4.6 million, or 26%, in the six months ended June 30, 2022 compared to the six months ended June 30, 2021, due primarily to decreased profitability. Additionally, there was an aggregated $0.6 million of tax expense related to shortfalls on the taxable compensation of share-based awards and the Section 162(m) excess officer compensation limitation recorded during the six months ended June 30, 2022, compared to an aggregated $1.2 million tax expenses related to shortfalls on the taxable compensation of share-based awards and the Section 162(m) excess officer compensation limitation recorded during the six months ended June 30,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June 30, 2022 and December 31, 2021, our principal sources of liquidity were cash and cash equivalents of $338.2 million and $231.9 million, respectively, and investments in certificates of deposit with terms of greater than 90 days but less than one year of $30.0 million and $90.0 million,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six months ended June 30, 2022 and 2021, our cash flows from operating, investing, and financing activities, as reflected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Statements of Cash Flows, are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87,595</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81,335</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51,837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(56,054 )</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(25,644 )</w:t>
            </w:r>
          </w:p>
        </w:tc>
        <w:tc>
          <w:tcPr>
            <w:tcW w:w="4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(22,073 )</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Impact of foreign currency on cash</w:t>
            </w:r>
          </w:p>
        </w:tc>
        <w:tc>
          <w:tcPr>
            <w:tcW w:w="32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(912 )</w:t>
            </w:r>
          </w:p>
        </w:tc>
        <w:tc>
          <w:tcPr>
            <w:tcW w:w="4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(135 )</w:t>
            </w:r>
          </w:p>
        </w:tc>
      </w:tr>
      <w:tr>
        <w:trPr>
          <w:trHeight w:val="236"/>
        </w:trPr>
        <w:tc>
          <w:tcPr>
            <w:tcW w:w="6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112,876</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Our operations have been financed primarily from operating activities. During the six months ended June 30, 2022 and 2021, we generated cash from operating activities of $87.6 million and $81.3 million, respectively.</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from the date of the filing of this Quarterly Report. Our future capital requirements will depend on many factors, including: the further impact of the COVID-19 pandemic; our revenue; expenses associated with our sales and marketing activities and the support of our product, technology, and development efforts; expenses associated with our facilities build out under our 1001 Boylston Street lease, other than those which qualify for landlord reimbursement; payments received in advance from a third-party payment processor; our investments in international markets; and the potential exercise of call rights in the second half of 2022, or the 2022 Call Right, exercisable in our sole discretion, to acquire up to twenty-five percent (25%) of the fully diluted outstanding capitalization of CarOffer at an implied value equal to seven (7) times CarOffer’s trailing twelve months gross profit as of June 30, 2022 (as calculated in accordance with the defined terms and subject to the adjustments set forth in the CarOffer Operating Agreement (as defined in Note 4 to the financial statements contained within our Annual Report)). If the 2022 Call Right is exercised, the consideration to be paid will be in the form of cash and/or shares of our Class A common stock, as determined in our sole discretion. A cash payment made in connection with the 2022 Call Right is reasonably likely to reduce our net cash in future quarters. Cash from operations could also be affected by various risks and uncertainties, including, but not limited to, the effects of the COVID-19 pandemic and other risks detailed in the “Risk Factors” section of this Quarterly Report.</w:t>
      </w:r>
    </w:p>
    <w:p>
      <w:pPr>
        <w:spacing w:after="0" w:line="18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Cash provided by operating activities of $87.6 million during the six months ended June 30, 2022 was due primarily to consolidated net income of $36.9 million, adjusted for $27.6 million of stock-based compensation expense for equity classified awards, $22.4 million of depreciation and amortization, $5.6 million of amortization of deferred contract costs, and $0.7 million of provision for doubtful accounts, partially offset by $23.5 million of deferred taxes. Cash provided by operating activities was also attributable to a $38.2 million increase in accrued expenses, accrued income taxes, and other liabilities, a $8.2 million increase in accounts payable, and a $2.3 million increase in deferred revenue. The increases in cash flow from operations were partially offset by an $12.0 million increase in accounts receivable, net, a $10.4 million increase in prepaid expenses, prepaid income taxes, and other assets, a $5.7 million increase in deferred contract costs, a $2.0 million increase in inventory, and a $0.9 million decrease in lease obligations.</w:t>
      </w:r>
    </w:p>
    <w:p>
      <w:pPr>
        <w:spacing w:after="0" w:line="5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Cash provided by operating activities of $81.3 million during the six months ended June 30, 2021 was due primarily to consolidated net income of $46.9 million, adjusted for $28.7 million of stock-based compensation expense for equity classified awards, $18.8 million of depreciation and amortization, $6.5 million of amortization of deferred contract costs, $2.3 million of deferred taxes, and $0.5 million of provision for doubtful accounts. Cash provided by operating activities was also attributable to a $15.6 million increase in accrued expenses, accrued income taxes and other liabilities, a $15.3 million increase in accounts payable, and a $4.0 million increase in deferred revenue. The increases in cash flow from operations were partially offset by a $48.0 million increase in accounts receivable, net, a $5.1 million increase in deferred contract costs, a $2.5 million increase in inventory and a $1.5 million increase in prepaid expenses, prepaid income taxes, and other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Cash provided by investing activities of $51.8 million during the six months ended June 30, 2022 was due to $60.0 million in maturities of certificates of deposit, offset by $5.5 million of capitalization of website development costs and $2.7 million of purchases of property and equipment.</w:t>
      </w:r>
    </w:p>
    <w:p>
      <w:pPr>
        <w:spacing w:after="0" w:line="3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Cash used in investing activities of $56.1 million during the six months ended June 30, 2021 was due to $64.3 million of cash paid for acquisitions, net of cash acquired, $4.7 million of purchases of property and equipment and $2.1 million related to the capitalization of website development costs, offset in part by $60 million of maturities of certificates of deposit, net of investments in certificates of deposit of $45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Cash used in financing activities of $25.6 million during the six months ended June 30, 2022 was due primarily to $12.7 million of payment of tax distributions to redeemable noncontrolling interest holders, $11.3 million of payment of withholding taxes on net share settlements of restricted stock units, and $2.4 million of payments made to a third-party payment processor, offset in part by $0.7 million of proceeds from the issuance of common stock related to the exercise of vested stock options.</w:t>
      </w:r>
    </w:p>
    <w:p>
      <w:pPr>
        <w:spacing w:after="0" w:line="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Cash used in financing activities of $22.1 million during the six months ended June 30, 2021 was due primarily to $14.3 million of CarOffer’s repayment of a line of credit and $8.2 million of payment of withholding taxes on net share settlements of restricted stock units, partially offset by $0.4 million related to the proceeds from the issuance of common stock related to the exercise of vested stock options.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June 30, 2022,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Additionally, the volume of vehicles sold through our CarOffer platform generally fluctuates from quarter to quarter. This seasonality is caused by several factors, including holidays, weather, the timing of used vehicles available for sale from selling customers, the seasonality of the retail market for used vehicles and/or inventory challenges in the automotive industry, which affect the demand side of the wholesale industry. Macroeconomic conditions, such as the global semiconductor chip shortage, can also effect the volume of wholesale vehicle sales. As a result, revenue and cost of revenue related to volume will fluctuate accordingly on a quarterly basis. Typical seasonality trends may not be observed in periods where other external factors more significantly impact the wholesale industry.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of June 30, 2022 and December 31, 2021, we did not have any off-balance sheet arrangements, or material leases that are less than twelve months in duration, other than leases signed but not commenced, that have or are reasonably likely to have a current or future material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us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8" w:name="page39"/>
    <w:bookmarkEnd w:id="38"/>
    <w:p>
      <w:pPr>
        <w:jc w:val="both"/>
        <w:ind w:firstLine="509"/>
        <w:spacing w:after="0" w:line="239" w:lineRule="auto"/>
        <w:rPr>
          <w:sz w:val="20"/>
          <w:szCs w:val="20"/>
          <w:color w:val="auto"/>
        </w:rPr>
      </w:pPr>
      <w:r>
        <w:rPr>
          <w:rFonts w:ascii="Arial" w:cs="Arial" w:eastAsia="Arial" w:hAnsi="Arial"/>
          <w:sz w:val="18"/>
          <w:szCs w:val="18"/>
          <w:color w:val="auto"/>
        </w:rPr>
        <w:t xml:space="preserve">Critical estimates relied upon in preparing the Unaudited Condensed Consolidated Financial Statements include the determination of sales allowance and variable consideration in our revenue recognition, allowance for doubtful accounts, the expensing and capitalization of product, technology, and development costs related to website development, internal-use software, and hosting arrangements, the valuation and recoverability of goodwill, intangible assets and other long-lived assets, the valuation of redeemable noncontrolling interest, the recoverability of our net deferred tax assets and related valuation allowance and the valuation of equity and liability-classified compensation awards under ASC Topic 718, </w:t>
      </w:r>
      <w:r>
        <w:rPr>
          <w:rFonts w:ascii="Arial" w:cs="Arial" w:eastAsia="Arial" w:hAnsi="Arial"/>
          <w:sz w:val="18"/>
          <w:szCs w:val="18"/>
          <w:i w:val="1"/>
          <w:iCs w:val="1"/>
          <w:color w:val="auto"/>
        </w:rPr>
        <w:t>Stock-based Compensation</w:t>
      </w:r>
      <w:r>
        <w:rPr>
          <w:rFonts w:ascii="Arial" w:cs="Arial" w:eastAsia="Arial" w:hAnsi="Arial"/>
          <w:sz w:val="18"/>
          <w:szCs w:val="18"/>
          <w:color w:val="auto"/>
        </w:rPr>
        <w:t>, or ASC 718. Accordingly, we consider these to be our critical accounting policies and believe that of our significant accounting policies, these policies involve the greatest degree of judgment and complexity.</w:t>
      </w:r>
    </w:p>
    <w:p>
      <w:pPr>
        <w:spacing w:after="0" w:line="19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a detailed explanation of the judgments made in these areas, refer to Note 2 to our Unaudited Condensed Consolidated Financial Statements appearing elsewhere in this Quarterly Report and “Management’s Discussion and Analysis of Financial Condition and Results of Operations” in our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and December 31, 2021, we did not have any long-term borrowings.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June 30, 2022 and December 31, 2021, we had cash, cash equivalents, and investments of $368.2 million and $321.9 million, respectively, which consisted of bank deposits, money market funds and certificates of deposit with maturity dates of nine months.</w:t>
      </w:r>
    </w:p>
    <w:p>
      <w:pPr>
        <w:spacing w:after="0" w:line="19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variable returns from our investments for the foreseeable future. To date, fluctuations in interest income have not been material to the operations of the business.</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June 30, 2022 and December 31, 2021, we had foreign currency exposures in the British pound, the Euro and the Canadian dollar, although such exposure is not significant.</w:t>
      </w:r>
    </w:p>
    <w:p>
      <w:pPr>
        <w:spacing w:after="0" w:line="18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7"/>
          <w:szCs w:val="17"/>
          <w:color w:val="auto"/>
        </w:rPr>
        <w:t>Our foreign subsidiaries have intercompany transactions that are eliminated upon consolidation, and these transactions expose us to foreign currency exchange rate fluctuations. Exchange rate fluctuations on short</w:t>
      </w:r>
      <w:r>
        <w:rPr>
          <w:rFonts w:ascii="MS PGothic" w:cs="MS PGothic" w:eastAsia="MS PGothic" w:hAnsi="MS PGothic"/>
          <w:sz w:val="17"/>
          <w:szCs w:val="17"/>
          <w:color w:val="auto"/>
        </w:rPr>
        <w:t>‑</w:t>
      </w:r>
      <w:r>
        <w:rPr>
          <w:rFonts w:ascii="Arial" w:cs="Arial" w:eastAsia="Arial" w:hAnsi="Arial"/>
          <w:sz w:val="17"/>
          <w:szCs w:val="17"/>
          <w:color w:val="auto"/>
        </w:rPr>
        <w:t>term intercompany transactions are recognized within other (expense) income, net in our Unaudited Condensed Consolidated Income Statements. Exchange rate fluctuations on long-term intercompany transactions are recognized within accumulated other comprehensive (loss) income in our Unaudited Condensed Consolidated Balance Sheets.</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8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the end of the period covered by this Quarterly Report, our principal executive officer and principal financial officer have concluded that, as of such date, our disclosure controls and procedures were not effective due to the material weakness described below.</w:t>
      </w:r>
    </w:p>
    <w:p>
      <w:pPr>
        <w:spacing w:after="0" w:line="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have identified deficiencies in controls at our CarOffer subsidiary, in which we acquired a 51% interest during fiscal year 2021. These deficiencies include controls over (i) certain information technology, or IT, general controls for systems that are relevant to the preparation of our financial statements and (ii) our financial statement close process that in the aggregate constitute a material weakness.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we did not maintain:</w:t>
      </w:r>
    </w:p>
    <w:p>
      <w:pPr>
        <w:spacing w:after="0" w:line="104" w:lineRule="exact"/>
        <w:rPr>
          <w:sz w:val="20"/>
          <w:szCs w:val="20"/>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User access review controls that adequately restrict privileged and end-user access to certain financial applications, programs, and data to appropriate company personnel, including consideration to segregation of incompatible duties;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management review controls for certain financial applications to ensure that IT program and data changes affecting financial IT applications and underlying accounting records are identified, tested, authorized and implemented appropriately;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controls over the financial statement close process, specifically related to the review of CarOffer journal entries and reconciliations over certain accounts.</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This material weakness did not result in a material misstatement to our financial statements. However, the material weakness could impact the effectiveness of segregation of duties controls, as well as the effectiveness of IT-dependent controls that could result in misstatements impacting financial statement accounts and disclosures that would result in a material misstatement of the annual or interim consolidated financial statements that would not be prevented or detected.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Remediation Plan</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and our board of directors are committed to maintaining a strong internal control environment. Management, with the oversight of the audit committee of our board of directors, has evaluated the material weakness described above and designed a remediation plan to address the material weakness and enhance our internal control environment. The remediation plan is being implemented and includes robust performance of user access and change management reviews, as well as an effective review of journal entries and accounts reconciliations. Management is committed to successfully implementing the remediation plan as promptly as possible.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Other than the material weakness described above, 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contained in this Quarterly Report, including “Management’s Discussion and Analysis of Financial Condition and Results of Operations” and our unaudited condensed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has been, and we expect it to continue to be, adversely affected by the COVID-19 pandemic and other macroeconomic issues.</w:t>
      </w:r>
    </w:p>
    <w:p>
      <w:pPr>
        <w:spacing w:after="0" w:line="127"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COVID -19 pandemic has caused an international health crisis and resulted, and may continue to result, in significant disruptions to the global economy as well as businesses and capital markets around the world. More transmissible and contagious variants have caused an increase in the number of COVID-19 cases globally. The continued impact of COVID-19 cannot be predicted at this time, and could depend on a number of factors, including the availability of vaccines in different parts of the world, vaccination rates among the population, and the effectiveness of vaccines against any variants.</w:t>
      </w:r>
    </w:p>
    <w:p>
      <w:pPr>
        <w:spacing w:after="0" w:line="4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Our operations have been and may continue to be materially adversely affected by a range of factors related to the COVID-19 pandemic. Fluctuation in infection rates in the regions in which we operate has resulted in periodic changes in restrictions that vary from region to region and may require rapid response to new or reinstated orders. Many of these orders resulted in, and may again in the future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5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The automotive industry is also facing, and may continue to face, inventory supply problems, including for reasons attributable to the COVID-19 pandemic and other macroeconomic issues, such as the global semiconductor chip shortage, and the war in Ukraine and Russian sanctions. This decline in vehicle inventory has led to an increase in bids per vehicle at auction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IMV and distribution of Deal Ratings. In addition, if our paying dealers continue to operate at reduced inventory levels or with increased costs, they may reduce or be unwilling to increase their advertising spend with us and/or may terminate their subscriptions prior to the commencement of the applicable renewal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and have contributed to higher prices and reduced lease options for new vehicles, which in turn has reduced, and may continue to reduce, consumer demand, which could contribute to a decline in the number of consumer visits to our websites and/or the number of connections between consumers and dealers through our marketplaces. Our business also relies on the ability of consumers to borrow funds to acquire automobiles and banks and other financing companies may limit or restrict lending to consumers as a result of the economic impacts of the COVID-19 pandemic and other macroeconomic issues, such as rising interest rates, which may also materially and adversely affect our business. These inventory-related issues and other macroeconomic issues may materially and adversely impact our business, financial condition and results of operations.</w:t>
      </w:r>
    </w:p>
    <w:p>
      <w:pPr>
        <w:spacing w:after="0" w:line="6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As a result of the COVID-19 pandemic and new variants, and the corresponding impact on their businesses, a number of our dealer customers temporarily closed and/or operated on a reduced capacity, and many dealerships faced, and continue to face, significant financial challenges. Such closures and circumstances led, and may in the future lead, some paying dealers to cancel their subscriptions and/or reduce their spending with us, which has had and may continue to have a material adverse effect on our revenues and on our business. Additionally, we reduced our spending on brand advertising and traffic acquisition at the beginning of the COVID-19 pandemic in response to increasing cancelations and reduced consumer demand, which contributed to a year-over-year decline in the number of consumers using our platform for each of the years ended December 31, 2021 and 2020, which in turn may continue to materially and adversely affect our business. While we have since restored a portion of that historical consumer spend, there can be no assurances that we will fully restore prior spending levels, as we may determine to decrease our consumer spend due to the possible impact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color w:val="auto"/>
        </w:rPr>
        <w:t>macroeconomic issues or elect to redirect our investments elsewhere, including in favor of new product development. If such a strategy were not to result in the benefits that we expect, our business could be harmed.</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Further, in the past, we have taken measures to help our paying dealers maintain their business health during the COVID-19 pandemic, including by proactively reducing the subscription fees for paying dealers for certain service periods, and we may decide to re-institute further billing relief as we continue to assess the effects of the COVID-19 pandemic and other macroeconomic issues on our paying dealers and business operations. Any further billing relief could result in a decline in our revenue and have a material adverse effect to our business. During the COVID-19 pandemic, we also experienced, and may in the future experience, increased account delinquencies from dealer customers challenged by the COVID-19 pandemic that failed to pay us on time or at all.</w:t>
      </w:r>
    </w:p>
    <w:p>
      <w:pPr>
        <w:spacing w:after="0" w:line="8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These effects from the COVID-19 pandemic on our revenue caused us to implement certain cost-savings measures across our business, which previously disrupted our business and operations and, if we implement future similar cost saving measures due to the COVID-19 pandemic or other macroeconomic issues, may affect our future business and operations and may yield unintended consequences, such as loss of key employees, increased costs in hiring new employees, undesired attrition, and the risk that we may not achieve the anticipated cost savings at the levels we expect, any of which may have a material adverse effect on our results of operations and/or financial condition.</w:t>
      </w:r>
    </w:p>
    <w:p>
      <w:pPr>
        <w:spacing w:after="0" w:line="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continue to monitor and assess the effects of the COVID-19 pandemic, including the effects of variants,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and acceptance of vaccines, shifts in behavior going forward, and the length or severity of any travel and commerce restrictions that may be imposed in the future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and/or dealer closures or consolidations occur that reduce demand for our products, our business and financial results would be materially and adversely affected.</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 significant source of our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 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6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Additionally, in the past, the number of United States dealers has declined due to dealership closures and consolidations as a result of factors such as global economic downturns or other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and financial results could be materially and adversely affected.</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As a result of the effects of the COVID-19 pandemic, many paying dealers cancelled their subscriptions with us (including, in some cases, with our permission prior to the end of the applicable contract term and notice period), and it is possible that additional dealers will cancel their subscriptions in the future for a variety of reasons, including as a result of the continuing effects of the COVID-19 pandemic and other macroeconomic issues, such as the global semiconductor chip shortage.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spacing w:after="0" w:line="5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allow dealers to list their inventory in CarGurus marketplaces for free; however, we impose certain limitations on such free listings, such as capping the number of leads that non-paying dealers in the U.S. may receive,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jc w:val="both"/>
        <w:spacing w:after="0" w:line="284" w:lineRule="auto"/>
        <w:rPr>
          <w:sz w:val="20"/>
          <w:szCs w:val="20"/>
          <w:color w:val="auto"/>
        </w:rPr>
      </w:pPr>
      <w:r>
        <w:rPr>
          <w:rFonts w:ascii="Arial" w:cs="Arial" w:eastAsia="Arial" w:hAnsi="Arial"/>
          <w:sz w:val="16"/>
          <w:szCs w:val="16"/>
          <w:color w:val="auto"/>
        </w:rPr>
        <w:t>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spacing w:after="0" w:line="47"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If we fail to continue to realize transaction synergies from our acquisition of a 51% interest in CarOffer, or if the CarOffer business and/or our combined offerings such as IMCO fail to continue to grow at the rate we expect, our revenue and business would be significantly harmed.</w:t>
      </w:r>
    </w:p>
    <w:p>
      <w:pPr>
        <w:spacing w:after="0" w:line="1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In January 2021 we completed our acquisition of a 51% interest in CarOffer, which added wholesale vehicle acquisition and selling capabilities to our portfolio of dealer offerings. In 2021, this acquisition also helped facilitate our launch of a newer consumer offering, IMCO, which allows consumers in certain states to sell their vehicles to dealers entirely online through CarGurus. A significant amount of our revenue is now derived from the wholesale sale of automobiles and IMCO. Continued achievement of our transaction synergies and our ability to continue to grow the CarOffer business and the revenue associated with it depends on a number of factors, including, but not limited to, our ability to continue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Additionally, our ability to continue to grow IMCO and the revenue associated with it also depends on a number of factors, including, but not limited to, our ability to continue to: effectively scale and market IMCO; attract prospective consumers to sell their vehicles online through IMCO; and successfully compete with competitors, including online dealerships. If our anticipated transaction synergies do not fully materialize or the CarOffer business and/or IMCO fail to continue to grow at the rate we expect, our revenue and business would be significantly harmed.</w:t>
      </w:r>
    </w:p>
    <w:p>
      <w:pPr>
        <w:spacing w:after="0" w:line="7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Industry conditions such as a significant change in vehicle retail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rather than selling them on the CarOffer platform, which could adversely impact the volume of vehicles offered for sale on the CarOffer platform and the demand for those used vehicles. Macroeconomic issues, including rising interest rates and lower consumer confidence, could also adversely impact dealer demand for sourcing inventory and therefore lead to a reduction in the number of vehicle wholesale sales on the CarOffer platform and/or transacted via IMCO, which would adversely impact CarOffer’s business and financial results. Additionally, inventory challenges in the automotive industry, including for reasons attributable to the COVID-19 pandemic, has contributed and could continue to contribute to a decrease in the supply of vehicles coming to the wholesale market and reduce the number of vehicles sold on the CarOffer platform and/or transacted via IMCO. An inability by CarOffer to retain customers and/or increase or find alternative sources of vehicle supply would adversely impact our revenue and business.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6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 portion of our revenue is derived from advertising revenues generated primarily through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5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Our agreements with dealers for advertising generally include terms ranging from one month to one year and may be terminated by us with 30 days’ notice and by dealers with 30 days’ notice prior to the commencement of the applicable renewal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effects of the COVID-19 pandemic, some advertisers cancelled or reduced their advertising with us and it is possible that advertising customers will cancel or reduce their advertising with us in the future for a variety of reasons, including as a result of the continuing effects of the COVID-19 pandemic and other macroeconomic issues, such as the global semiconductor chip shortage. In addition, the year-over-year decline in the number of consumer visits to our sites as a result of the COVID-19 pandemic resulted in the delivery of fewer impressions for our advertising customers than anticipated year-over-year for the years ended December 31, 2021 and 2020, which has caused, and may continue to cause, an adverse impact on our advertising revenues. We may not succeed in capturing a greater share of our advertisers’ spending if we are unable to convince advertisers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jc w:val="both"/>
        <w:ind w:right="20"/>
        <w:spacing w:after="0" w:line="324" w:lineRule="auto"/>
        <w:rPr>
          <w:sz w:val="20"/>
          <w:szCs w:val="20"/>
          <w:color w:val="auto"/>
        </w:rPr>
      </w:pPr>
      <w:r>
        <w:rPr>
          <w:rFonts w:ascii="Arial" w:cs="Arial" w:eastAsia="Arial" w:hAnsi="Arial"/>
          <w:sz w:val="16"/>
          <w:szCs w:val="16"/>
          <w:color w:val="auto"/>
        </w:rPr>
        <w:t>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16"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1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For example, during 2021 we launched IMCO in furtherance of our evolution to a transaction-enabled marketplace. We also continue to develop digital retail offerings, including those that expand a dealer’s geographic footprint and others that bring additional elements of the car buying experience online through our websites. A failure by us to capture the benefits that we expect from our rollout of IMCO and these digital retail investments could have an adverse effect on our business and financial results.</w:t>
      </w:r>
    </w:p>
    <w:p>
      <w:pPr>
        <w:spacing w:after="0" w:line="5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In addition to introducing new offerings within our existing products, we anticipate that over time we may reach a point when investments in our current products are less productive and the growth of our revenue will require more focus on developing new products for consumers and dealers. These new products, in the aggregate,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continued impact of the COVID-19 pandemic and other macroeconomic effects, as well as any cost-savings initiatives on our business. These product, technology, and development expenses may include costs of hiring additional personnel,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and/or introduce competing products in a way that would adversely affect our search result rankings. If internet search engines modify their methodologies in ways that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7"/>
          <w:szCs w:val="17"/>
          <w:color w:val="auto"/>
        </w:rPr>
        <w:t>detrimental to us, as they have done from time to time, or if our efforts to improve our search engine optimization are unsuccessful or less successful than our competitors’ internet search engine optimization efforts, our ability to attract a large consumer audience could diminish, traffic to our marketplaces could decline and the number of leads that we send to our dealers could be adversely impacted. Additionally, competing products from internet search engine providers, such as those that provide dealer and vehicle pricing and other information directly in search results, could also adversely impact traffic to our websites and the number of leads that we are able to send to our dealers. Our business would also be adversely affected if internet search engine providers choose to align with our competitors.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continuing effects of the COVID-19 pandemic.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the continued impact of the COVID-19 pandemic or other macroeconomic effects.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8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8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in the future is uncertain, including due to potential macroeconomic effects.</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revenue increased to (i) $951.4 million for the year ended December 31, 2021 from $551.5 million for the year ended December 31, 2020, representing a 73% increase between such periods, and (ii) $511.2 million for the three months ended June 30, 2022 from $217.7 million for the three months ended June 30, 2021, representing a 135% increase between such periods. Our revenue for the remainder of 2022 and beyond may not grow at such a rate and could potentially be impacted by macroeconomic issues, such as the global semiconductor chip shortage, the war in Ukraine and Russian sanctions, the ongoing effects of the COVID-19 pandemic, rising interest rates and lower consumer confidence. In addition, we will not be able to grow as expected, or at all, if we fail to: increase the number of consumers using our marketplaces; maintain and expand the number of dealers that subscribe to our marketplaces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jc w:val="both"/>
        <w:spacing w:after="0" w:line="243" w:lineRule="auto"/>
        <w:rPr>
          <w:sz w:val="20"/>
          <w:szCs w:val="20"/>
          <w:color w:val="auto"/>
        </w:rPr>
      </w:pPr>
      <w:r>
        <w:rPr>
          <w:rFonts w:ascii="Arial" w:cs="Arial" w:eastAsia="Arial" w:hAnsi="Arial"/>
          <w:sz w:val="18"/>
          <w:szCs w:val="18"/>
          <w:color w:val="auto"/>
        </w:rPr>
        <w:t>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If we are unable to generate sufficient cash flows, we would require additional capital to pursue our business objectives and respond to business opportunities, challenges, or unforeseen circumstances, including the effects of the COVID-19 pandemic and other macroeconomic issues, such as the global semiconductor chip shortage,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equity and credit markets, including due to the COVID-19 pandemic, may also have an adverse effect on our ability to obtain equity or debt financing.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0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6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6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Since the onset of the COVID-19 pandemic, we have encountered increased rates of turnover of our employee base and encountered intense competition for retaining and attracting qualified and skilled employees. Accordingly, we have incurred, and we may continue to incur, significant costs to attract new employees and retain existing ones, and we may in the future become less competitive in attracting and retaining employees as a result of any expense reduction efforts that we may initiate or our compliance with any COVID-19 healthcare standards to which we may become subject.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jc w:val="both"/>
        <w:ind w:firstLine="509"/>
        <w:spacing w:after="0" w:line="238" w:lineRule="auto"/>
        <w:rPr>
          <w:sz w:val="20"/>
          <w:szCs w:val="20"/>
          <w:color w:val="auto"/>
        </w:rPr>
      </w:pPr>
      <w:r>
        <w:rPr>
          <w:rFonts w:ascii="Arial" w:cs="Arial" w:eastAsia="Arial" w:hAnsi="Arial"/>
          <w:sz w:val="18"/>
          <w:szCs w:val="18"/>
          <w:color w:val="auto"/>
        </w:rPr>
        <w:t>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 Additionally, we may face risks related to the transitions that occurred in our senior management team during 2021, the announced departure of our Chief Financial Officer, and other future transitions in our leadership team, including the disruption of our operations and the depletion of our institutional knowledge base.</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3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8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Our platforms enable us, dealers, and users to send and receive text messages and other mobile phone communications. The Telephone Consumer Protection Act, or the TCPA, as interpreted and implemented by the United States Federal Communications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jc w:val="both"/>
        <w:spacing w:after="0" w:line="241" w:lineRule="auto"/>
        <w:rPr>
          <w:sz w:val="20"/>
          <w:szCs w:val="20"/>
          <w:color w:val="auto"/>
        </w:rPr>
      </w:pPr>
      <w:r>
        <w:rPr>
          <w:rFonts w:ascii="Arial" w:cs="Arial" w:eastAsia="Arial" w:hAnsi="Arial"/>
          <w:sz w:val="18"/>
          <w:szCs w:val="18"/>
          <w:color w:val="auto"/>
        </w:rPr>
        <w:t>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Other Laws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Antitrust and competition laws prohibit, among other things, any joint conduct among competitors that would lessen 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8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5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8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In addition, our business has been and may continue to be negatively affected by challenges to the larger automotive industry ecosystem, including global supply chain challenges, the global semiconductor chip shortage, changes to trade policies, including tariff rates and customs duties, trade relations between the United States and China and other macroeconomic issues, including the war in Ukraine and Russian sanctions, as well as the ongoing effects of the COVID-19 pandemic. These factors could have a material adverse effect on our business, revenue, results of operations, and financial condition.</w:t>
      </w:r>
    </w:p>
    <w:p>
      <w:pPr>
        <w:spacing w:after="0" w:line="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success depends upon our relationships with third parties, including, among others: our payment processor; our data center hosts; our information technology providers; our data providers for inventory and vehicle information; and our partners for vehicle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17"/>
          <w:szCs w:val="17"/>
          <w:color w:val="auto"/>
        </w:rPr>
        <w:t>transportation, inspection and other logistics associated with our CarOffer business and IMCO.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6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break-ins, electronic breaches, or otherwise,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7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Substantially all of the communications, network, and computer hardware used to operate our platforms is located in the Eastern region of the United States, and internationally near each of London, England and Frankfurt, Germany. These facilities include hosting through Amazon Web Services, a provider of cloud infrastructure services. Although we can host our U.S. CarGurus’ marketplace from two alternative locations and we believe our systems are redundant, there may be exceptions for certain hardware or software. In addition, we do not own or control the operation of these facilities. Any disruptions or other operational performance problems with these facilities, including our cloud infrastructure service provider, could result in material interruptions in our services, adversely affect our reputation and results of operations, and subject us to liability.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breaches,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8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6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Some functions of our marketplaces involve the storage and transmission of consumers’ information, such as IP addresses, contact information of users who connect with dealers, credit applications and other financial data, and profile information of users who create accounts on our marketplaces, as well as dealers’ information. We also process and store personal and confidential information of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jc w:val="both"/>
        <w:spacing w:after="0" w:line="270" w:lineRule="auto"/>
        <w:rPr>
          <w:sz w:val="20"/>
          <w:szCs w:val="20"/>
          <w:color w:val="auto"/>
        </w:rPr>
      </w:pPr>
      <w:r>
        <w:rPr>
          <w:rFonts w:ascii="Arial" w:cs="Arial" w:eastAsia="Arial" w:hAnsi="Arial"/>
          <w:sz w:val="16"/>
          <w:szCs w:val="16"/>
          <w:color w:val="auto"/>
        </w:rPr>
        <w:t>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5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5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w:t>
      </w:r>
    </w:p>
    <w:p>
      <w:pPr>
        <w:spacing w:after="0" w:line="6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64"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the California Consumer Privacy Act, or the CCPA, which went into effect on January 1, 2020, and the California Privacy Rights Act, or the CPRA, the Virginia Consumer Data Protection Act, or the VCDPA, each of which goes into effect on January 1, 2023, the Colorado Privacy Act, or the CPA, and the Connecticut Data Privacy Act, or the CDPA, each of which goes into effect on July 1, 2023, and the Utah Consumer Privacy Act, or the UCPA, which goes into effect on December 31, 2023. The GDPR and CCPA in particular have already required, and along with the CPRA, VCDPA, CPA, CDPA, and UCPA,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CCPA, CPA, CDPA, CPRA, VCDPA, or UCPA requirements.</w:t>
      </w:r>
    </w:p>
    <w:p>
      <w:pPr>
        <w:spacing w:after="0" w:line="7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8"/>
          <w:szCs w:val="18"/>
          <w:color w:val="auto"/>
        </w:rPr>
        <w:t>employee, consumer or dealer information at risk and could in turn expose us to claims for damages or regulatory fines or penalties and harm our reputation, business, and operating results.</w:t>
      </w:r>
    </w:p>
    <w:p>
      <w:pPr>
        <w:spacing w:after="0" w:line="63" w:lineRule="exact"/>
        <w:rPr>
          <w:sz w:val="20"/>
          <w:szCs w:val="20"/>
          <w:color w:val="auto"/>
        </w:rPr>
      </w:pPr>
    </w:p>
    <w:p>
      <w:pPr>
        <w:jc w:val="both"/>
        <w:spacing w:after="0" w:line="356"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CCPA, CPA, CDPA, CPRA, VCDPA, and UCPA;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7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 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5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 party trademarks that incorporate variations of our trademarks. We have registered the CARGURUS and CG logos,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jc w:val="both"/>
        <w:spacing w:after="0" w:line="291" w:lineRule="auto"/>
        <w:rPr>
          <w:sz w:val="20"/>
          <w:szCs w:val="20"/>
          <w:color w:val="auto"/>
        </w:rPr>
      </w:pPr>
      <w:r>
        <w:rPr>
          <w:rFonts w:ascii="Arial" w:cs="Arial" w:eastAsia="Arial" w:hAnsi="Arial"/>
          <w:sz w:val="17"/>
          <w:szCs w:val="17"/>
          <w:color w:val="auto"/>
        </w:rPr>
        <w:t>well as the word-mark CARGURUS, in the U.S., Canada, and the United Kingdom. Additionally, CarOffer has a number of registered and unregistered trademarks, including “CarOffer” and the CarOffer logo, and related marks, which CarOffer has registered as trademarks in the U.S.</w:t>
      </w:r>
    </w:p>
    <w:p>
      <w:pPr>
        <w:spacing w:after="0" w:line="3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COVID-19-related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as a result of macroeconomic issues, such as the global semiconductor chip shortage,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6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have identified deficiencies in controls at our CarOffer subsidiary. These deficiencies include controls over (i) certain IT general controls for systems that are relevant to the preparation of our financial statements and (ii) our financial statement close process, which in the aggregate constitute a material weakness. While this material weakness did not result in a material misstatement of our financial statements, it could impact the effectiveness of our segregation of duties controls, as well as the effectiveness of IT-dependent controls, which could result in misstatement(s) impacting financial statement accounts and disclosures, resulting in a material misstatement of our annual or interim financial statements that we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18"/>
          <w:szCs w:val="18"/>
          <w:color w:val="auto"/>
        </w:rPr>
        <w:t>would have failed to prevent or detect. As a result of this material weakness, our management concluded that our disclosure controls and procedures were not effective as of June 30, 2022.</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in the process of implementing a remediation plan designed to improve our internal control over financial reporting to remediate this material weakness. This remediation plan includes implementation of additional controls and procedures, including timely performance of user access and change management reviews, as well as an effective review of journal entries and accounts reconciliations. We cannot assure you that the measures we have taken to date, and actions we may take in the future, will be sufficient to remediate the control deficiencies that led to the material weakness in our internal control over financial reporting or that they will prevent or avoid potential future material weaknesses. If we are unable to successfully remediate the material weakness in our internal control over financial reporting, the accuracy and timing of our financial reporting may be adversely affected, investors could lose confidence in the accuracy and completeness of our financial reports, the market price of our Class A common stock could decline, we could be subject to sanctions or investigations by Nasdaq, the SEC or other regulatory authorities, and our ability to access the capital markets could be limited.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attached to our Annual Report as Exhibit 3.1),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26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8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continuing effects of the COVID-19 pandemic.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3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6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jc w:val="both"/>
        <w:spacing w:after="0" w:line="291" w:lineRule="auto"/>
        <w:rPr>
          <w:sz w:val="20"/>
          <w:szCs w:val="20"/>
          <w:color w:val="auto"/>
        </w:rPr>
      </w:pPr>
      <w:r>
        <w:rPr>
          <w:rFonts w:ascii="Arial" w:cs="Arial" w:eastAsia="Arial" w:hAnsi="Arial"/>
          <w:sz w:val="17"/>
          <w:szCs w:val="17"/>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3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such as those described above.</w:t>
      </w:r>
    </w:p>
    <w:p>
      <w:pPr>
        <w:spacing w:after="0" w:line="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the material weakness described above and/or any future material weaknesses that may be identified,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8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 Failure to remedy the material weakness described above and/or any future material weaknesses that may be identified, or to implement or maintain other effective control systems required of public companies, could also restrict our future access to the capital markets.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including the continued effects of the COVID-19 pandemic and other macroeconomic issues, such as the global semiconductor chip shortage. Our results may vary as a result of fluctuations in the number of dealers subscribing to our marketplaces, the size and seasonal variability of our advertisers’ marketing budgets, and the impact of vehicle arbitrations in a given quarter in connection with our IMCO product and the wholesale sale of automobiles.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South Dakota v. Wayfair, Inc., which could precipitate reactions by legislators, regulators and courts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may not adequately prevent disclosure of our trade secrets and other proprietary information.</w:t>
      </w:r>
    </w:p>
    <w:p>
      <w:pPr>
        <w:spacing w:after="0" w:line="10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August 2, 2022, Scot Fredo, our Chief Financial Officer, announced his intent to resign to pursue another career opportunity. Mr. Fredo will remain our Chief Financial Officer through October 3, 2022, the effective date of his resignation. Additionally, on August 2, 2022, our Board of Directors designated Jason Trevisan, our Chief Executive Officer, to serve as our Principal Financial Officer effective upon Mr. Fredo's resignation on October 3, 2022 and until such time that we appoint a successor Chief Financial Officer.</w:t>
      </w:r>
    </w:p>
    <w:p>
      <w:pPr>
        <w:spacing w:after="0" w:line="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satisfaction of the disclosure required under Items 401(b), (d) and (e) of Regulation S-K, or Regulation S-K, under the Securities Act of 1933, as amended, with respect to Mr. Trevisan, the section entitled “Board of Directors and Management” of our Proxy Statement filed with the SEC on April 27, 2022, is incorporated by reference herein. Since the beginning of our last fiscal year, we have not engaged in any transaction in which Mr. Trevisan had a direct or indirect material interest within the meaning of Item 404(a) of Regulation S-K.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line="133" w:lineRule="exact"/>
              <w:rPr>
                <w:sz w:val="20"/>
                <w:szCs w:val="20"/>
                <w:color w:val="auto"/>
              </w:rPr>
            </w:pPr>
            <w:r>
              <w:rPr>
                <w:rFonts w:ascii="Arial" w:cs="Arial" w:eastAsia="Arial" w:hAnsi="Arial"/>
                <w:sz w:val="14"/>
                <w:szCs w:val="14"/>
                <w:b w:val="1"/>
                <w:bCs w:val="1"/>
                <w:color w:val="auto"/>
              </w:rPr>
              <w:t>Exhibit</w:t>
            </w:r>
          </w:p>
        </w:tc>
        <w:tc>
          <w:tcPr>
            <w:tcW w:w="516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File</w:t>
            </w: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0"/>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160" w:type="dxa"/>
            <w:vAlign w:val="bottom"/>
            <w:gridSpan w:val="1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0"/>
        </w:trPr>
        <w:tc>
          <w:tcPr>
            <w:tcW w:w="920" w:type="dxa"/>
            <w:vAlign w:val="bottom"/>
          </w:tcPr>
          <w:p>
            <w:pPr>
              <w:ind w:left="100"/>
              <w:spacing w:after="0" w:line="190" w:lineRule="exact"/>
              <w:rPr>
                <w:sz w:val="20"/>
                <w:szCs w:val="20"/>
                <w:color w:val="auto"/>
              </w:rPr>
            </w:pPr>
            <w:r>
              <w:rPr>
                <w:rFonts w:ascii="Arial" w:cs="Arial" w:eastAsia="Arial" w:hAnsi="Arial"/>
                <w:sz w:val="18"/>
                <w:szCs w:val="18"/>
                <w:color w:val="auto"/>
              </w:rPr>
              <w:t>10.1</w:t>
            </w:r>
          </w:p>
        </w:tc>
        <w:tc>
          <w:tcPr>
            <w:tcW w:w="5160" w:type="dxa"/>
            <w:vAlign w:val="bottom"/>
            <w:gridSpan w:val="12"/>
          </w:tcPr>
          <w:p>
            <w:pPr>
              <w:spacing w:after="0" w:line="190" w:lineRule="exact"/>
              <w:rPr>
                <w:rFonts w:ascii="Arial" w:cs="Arial" w:eastAsia="Arial" w:hAnsi="Arial"/>
                <w:sz w:val="18"/>
                <w:szCs w:val="18"/>
                <w:color w:val="0000FF"/>
                <w:w w:val="96"/>
              </w:rPr>
            </w:pPr>
            <w:hyperlink r:id="rId352">
              <w:r>
                <w:rPr>
                  <w:rFonts w:ascii="Arial" w:cs="Arial" w:eastAsia="Arial" w:hAnsi="Arial"/>
                  <w:sz w:val="18"/>
                  <w:szCs w:val="18"/>
                  <w:color w:val="0000FF"/>
                  <w:w w:val="96"/>
                </w:rPr>
                <w:t>Corrective Amendment, dated May 6, 2022, to Third Amended and</w:t>
              </w:r>
            </w:hyperlink>
          </w:p>
        </w:tc>
        <w:tc>
          <w:tcPr>
            <w:tcW w:w="920" w:type="dxa"/>
            <w:vAlign w:val="bottom"/>
          </w:tcPr>
          <w:p>
            <w:pPr>
              <w:ind w:left="280"/>
              <w:spacing w:after="0" w:line="190" w:lineRule="exact"/>
              <w:rPr>
                <w:sz w:val="20"/>
                <w:szCs w:val="20"/>
                <w:color w:val="auto"/>
              </w:rPr>
            </w:pPr>
            <w:r>
              <w:rPr>
                <w:rFonts w:ascii="Arial" w:cs="Arial" w:eastAsia="Arial" w:hAnsi="Arial"/>
                <w:sz w:val="18"/>
                <w:szCs w:val="18"/>
                <w:color w:val="auto"/>
              </w:rPr>
              <w:t>10-Q</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001-38233</w:t>
            </w: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2"/>
              </w:rPr>
              <w:t>May 9, 2022</w:t>
            </w: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1"/>
              </w:rPr>
              <w:t>10.5</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r:id="rId352">
              <w:r>
                <w:rPr>
                  <w:rFonts w:ascii="Arial" w:cs="Arial" w:eastAsia="Arial" w:hAnsi="Arial"/>
                  <w:sz w:val="18"/>
                  <w:szCs w:val="18"/>
                  <w:color w:val="0000FF"/>
                  <w:w w:val="93"/>
                </w:rPr>
                <w:t>Restated Limited Liability Company Agreement of CarOffer, LLC,</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r:id="rId352">
              <w:r>
                <w:rPr>
                  <w:rFonts w:ascii="Arial" w:cs="Arial" w:eastAsia="Arial" w:hAnsi="Arial"/>
                  <w:sz w:val="18"/>
                  <w:szCs w:val="18"/>
                  <w:color w:val="0000FF"/>
                  <w:w w:val="90"/>
                </w:rPr>
                <w:t>dated November 23, 2021, by and among the Registrant, CarOffer,</w:t>
              </w:r>
            </w:hyperlink>
          </w:p>
        </w:tc>
        <w:tc>
          <w:tcPr>
            <w:tcW w:w="1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ind w:left="10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3"/>
                <w:szCs w:val="13"/>
                <w:color w:val="auto"/>
              </w:rPr>
            </w:pPr>
          </w:p>
        </w:tc>
        <w:tc>
          <w:tcPr>
            <w:tcW w:w="48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352">
              <w:r>
                <w:rPr>
                  <w:rFonts w:ascii="Arial" w:cs="Arial" w:eastAsia="Arial" w:hAnsi="Arial"/>
                  <w:sz w:val="18"/>
                  <w:szCs w:val="18"/>
                  <w:color w:val="0000FF"/>
                </w:rPr>
                <w:t>LLC, TopCo, and CarOffer MidCo, LLC.</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5160" w:type="dxa"/>
            <w:vAlign w:val="bottom"/>
            <w:gridSpan w:val="12"/>
          </w:tcPr>
          <w:p>
            <w:pPr>
              <w:spacing w:after="0" w:line="182" w:lineRule="exact"/>
              <w:rPr>
                <w:rFonts w:ascii="Arial" w:cs="Arial" w:eastAsia="Arial" w:hAnsi="Arial"/>
                <w:sz w:val="18"/>
                <w:szCs w:val="18"/>
                <w:color w:val="0000FF"/>
                <w:w w:val="98"/>
              </w:rPr>
            </w:pPr>
            <w:hyperlink w:anchor="page60">
              <w:r>
                <w:rPr>
                  <w:rFonts w:ascii="Arial" w:cs="Arial" w:eastAsia="Arial" w:hAnsi="Arial"/>
                  <w:sz w:val="18"/>
                  <w:szCs w:val="18"/>
                  <w:color w:val="0000FF"/>
                  <w:w w:val="98"/>
                </w:rPr>
                <w:t>Certification of Principal Executive Officer Pursuant to Rules 13a-</w:t>
              </w:r>
            </w:hyperlink>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4800" w:type="dxa"/>
            <w:vAlign w:val="bottom"/>
            <w:gridSpan w:val="5"/>
          </w:tcPr>
          <w:p>
            <w:pPr>
              <w:spacing w:after="0" w:line="156"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14(a) and 15d-14(a) under the Securities Exchange Act of 1934, as</w:t>
              </w:r>
            </w:hyperlink>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restart"/>
          </w:tcPr>
          <w:p>
            <w:pPr>
              <w:ind w:left="100"/>
              <w:spacing w:after="0"/>
              <w:rPr>
                <w:sz w:val="20"/>
                <w:szCs w:val="20"/>
                <w:color w:val="auto"/>
              </w:rPr>
            </w:pPr>
            <w:r>
              <w:rPr>
                <w:rFonts w:ascii="Arial" w:cs="Arial" w:eastAsia="Arial" w:hAnsi="Arial"/>
                <w:sz w:val="18"/>
                <w:szCs w:val="18"/>
                <w:color w:val="auto"/>
              </w:rPr>
              <w:t>31.2</w:t>
            </w:r>
          </w:p>
        </w:tc>
        <w:tc>
          <w:tcPr>
            <w:tcW w:w="20" w:type="dxa"/>
            <w:vAlign w:val="bottom"/>
            <w:vMerge w:val="continue"/>
          </w:tcPr>
          <w:p>
            <w:pPr>
              <w:spacing w:after="0"/>
              <w:rPr>
                <w:sz w:val="13"/>
                <w:szCs w:val="13"/>
                <w:color w:val="auto"/>
              </w:rPr>
            </w:pPr>
          </w:p>
        </w:tc>
        <w:tc>
          <w:tcPr>
            <w:tcW w:w="5140" w:type="dxa"/>
            <w:vAlign w:val="bottom"/>
            <w:gridSpan w:val="11"/>
          </w:tcPr>
          <w:p>
            <w:pPr>
              <w:spacing w:after="0" w:line="156" w:lineRule="exact"/>
              <w:rPr>
                <w:rFonts w:ascii="Arial" w:cs="Arial" w:eastAsia="Arial" w:hAnsi="Arial"/>
                <w:sz w:val="18"/>
                <w:szCs w:val="18"/>
                <w:color w:val="0000FF"/>
                <w:w w:val="93"/>
              </w:rPr>
            </w:pPr>
            <w:hyperlink w:anchor="page60">
              <w:r>
                <w:rPr>
                  <w:rFonts w:ascii="Arial" w:cs="Arial" w:eastAsia="Arial" w:hAnsi="Arial"/>
                  <w:sz w:val="18"/>
                  <w:szCs w:val="18"/>
                  <w:color w:val="0000FF"/>
                  <w:w w:val="93"/>
                </w:rPr>
                <w:t>Adopted Pursuant to Section 302 of the Sarbanes-Oxley Act of 2002.</w:t>
              </w:r>
            </w:hyperlink>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4980" w:type="dxa"/>
            <w:vAlign w:val="bottom"/>
            <w:gridSpan w:val="11"/>
          </w:tcPr>
          <w:p>
            <w:pPr>
              <w:spacing w:after="0" w:line="182" w:lineRule="exact"/>
              <w:rPr>
                <w:rFonts w:ascii="Arial" w:cs="Arial" w:eastAsia="Arial" w:hAnsi="Arial"/>
                <w:sz w:val="18"/>
                <w:szCs w:val="18"/>
                <w:color w:val="0000FF"/>
                <w:w w:val="96"/>
              </w:rPr>
            </w:pPr>
            <w:hyperlink w:anchor="page61">
              <w:r>
                <w:rPr>
                  <w:rFonts w:ascii="Arial" w:cs="Arial" w:eastAsia="Arial" w:hAnsi="Arial"/>
                  <w:sz w:val="18"/>
                  <w:szCs w:val="18"/>
                  <w:color w:val="0000FF"/>
                  <w:w w:val="96"/>
                </w:rPr>
                <w:t>Certification of Principal Financial Officer Pursuant to Rules 13a-</w:t>
              </w:r>
            </w:hyperlink>
          </w:p>
        </w:tc>
        <w:tc>
          <w:tcPr>
            <w:tcW w:w="1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5160" w:type="dxa"/>
            <w:vAlign w:val="bottom"/>
            <w:gridSpan w:val="12"/>
          </w:tcPr>
          <w:p>
            <w:pPr>
              <w:spacing w:after="0" w:line="156" w:lineRule="exact"/>
              <w:rPr>
                <w:rFonts w:ascii="Arial" w:cs="Arial" w:eastAsia="Arial" w:hAnsi="Arial"/>
                <w:sz w:val="18"/>
                <w:szCs w:val="18"/>
                <w:color w:val="0000FF"/>
                <w:w w:val="96"/>
              </w:rPr>
            </w:pPr>
            <w:hyperlink w:anchor="page61">
              <w:r>
                <w:rPr>
                  <w:rFonts w:ascii="Arial" w:cs="Arial" w:eastAsia="Arial" w:hAnsi="Arial"/>
                  <w:sz w:val="18"/>
                  <w:szCs w:val="18"/>
                  <w:color w:val="0000FF"/>
                  <w:w w:val="96"/>
                </w:rPr>
                <w:t>14(a) and 15d-14(a) under the Securities Exchange Act of 1934, as</w:t>
              </w:r>
            </w:hyperlink>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restart"/>
          </w:tcPr>
          <w:p>
            <w:pPr>
              <w:ind w:left="100"/>
              <w:spacing w:after="0"/>
              <w:rPr>
                <w:sz w:val="20"/>
                <w:szCs w:val="20"/>
                <w:color w:val="auto"/>
              </w:rPr>
            </w:pPr>
            <w:r>
              <w:rPr>
                <w:rFonts w:ascii="Arial" w:cs="Arial" w:eastAsia="Arial" w:hAnsi="Arial"/>
                <w:sz w:val="18"/>
                <w:szCs w:val="18"/>
                <w:color w:val="auto"/>
              </w:rPr>
              <w:t>32.1*</w:t>
            </w:r>
          </w:p>
        </w:tc>
        <w:tc>
          <w:tcPr>
            <w:tcW w:w="20" w:type="dxa"/>
            <w:vAlign w:val="bottom"/>
            <w:vMerge w:val="continue"/>
          </w:tcPr>
          <w:p>
            <w:pPr>
              <w:spacing w:after="0"/>
              <w:rPr>
                <w:sz w:val="13"/>
                <w:szCs w:val="13"/>
                <w:color w:val="auto"/>
              </w:rPr>
            </w:pPr>
          </w:p>
        </w:tc>
        <w:tc>
          <w:tcPr>
            <w:tcW w:w="5140" w:type="dxa"/>
            <w:vAlign w:val="bottom"/>
            <w:gridSpan w:val="11"/>
          </w:tcPr>
          <w:p>
            <w:pPr>
              <w:spacing w:after="0" w:line="156"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Adopted Pursuant to Section 302 of the Sarbanes-Oxley Act of 2002.</w:t>
              </w:r>
            </w:hyperlink>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4980" w:type="dxa"/>
            <w:vAlign w:val="bottom"/>
            <w:gridSpan w:val="11"/>
          </w:tcPr>
          <w:p>
            <w:pPr>
              <w:spacing w:after="0" w:line="182" w:lineRule="exact"/>
              <w:rPr>
                <w:rFonts w:ascii="Arial" w:cs="Arial" w:eastAsia="Arial" w:hAnsi="Arial"/>
                <w:sz w:val="18"/>
                <w:szCs w:val="18"/>
                <w:color w:val="0000FF"/>
                <w:w w:val="97"/>
              </w:rPr>
            </w:pPr>
            <w:hyperlink w:anchor="page62">
              <w:r>
                <w:rPr>
                  <w:rFonts w:ascii="Arial" w:cs="Arial" w:eastAsia="Arial" w:hAnsi="Arial"/>
                  <w:sz w:val="18"/>
                  <w:szCs w:val="18"/>
                  <w:color w:val="0000FF"/>
                  <w:w w:val="97"/>
                </w:rPr>
                <w:t>Certification of Principal Executive Officer Pursuant to 18 U.S.C.</w:t>
              </w:r>
            </w:hyperlink>
          </w:p>
        </w:tc>
        <w:tc>
          <w:tcPr>
            <w:tcW w:w="1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140" w:type="dxa"/>
            <w:vAlign w:val="bottom"/>
            <w:gridSpan w:val="11"/>
          </w:tcPr>
          <w:p>
            <w:pPr>
              <w:spacing w:after="0" w:line="156" w:lineRule="exact"/>
              <w:rPr>
                <w:rFonts w:ascii="Arial" w:cs="Arial" w:eastAsia="Arial" w:hAnsi="Arial"/>
                <w:sz w:val="18"/>
                <w:szCs w:val="18"/>
                <w:color w:val="0000FF"/>
                <w:w w:val="94"/>
              </w:rPr>
            </w:pPr>
            <w:hyperlink w:anchor="page62">
              <w:r>
                <w:rPr>
                  <w:rFonts w:ascii="Arial" w:cs="Arial" w:eastAsia="Arial" w:hAnsi="Arial"/>
                  <w:sz w:val="18"/>
                  <w:szCs w:val="18"/>
                  <w:color w:val="0000FF"/>
                  <w:w w:val="94"/>
                </w:rPr>
                <w:t>Section 1350, as Adopted Pursuant to Section 906 of the Sarbanes-</w:t>
              </w:r>
            </w:hyperlink>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gridSpan w:val="6"/>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restart"/>
          </w:tcPr>
          <w:p>
            <w:pPr>
              <w:ind w:left="100"/>
              <w:spacing w:after="0"/>
              <w:rPr>
                <w:sz w:val="20"/>
                <w:szCs w:val="20"/>
                <w:color w:val="auto"/>
              </w:rPr>
            </w:pPr>
            <w:r>
              <w:rPr>
                <w:rFonts w:ascii="Arial" w:cs="Arial" w:eastAsia="Arial" w:hAnsi="Arial"/>
                <w:sz w:val="18"/>
                <w:szCs w:val="18"/>
                <w:color w:val="auto"/>
              </w:rPr>
              <w:t>32.2*</w:t>
            </w:r>
          </w:p>
        </w:tc>
        <w:tc>
          <w:tcPr>
            <w:tcW w:w="4820" w:type="dxa"/>
            <w:vAlign w:val="bottom"/>
            <w:gridSpan w:val="6"/>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Oxley Act of 2002.</w:t>
              </w:r>
            </w:hyperlink>
          </w:p>
        </w:tc>
        <w:tc>
          <w:tcPr>
            <w:tcW w:w="340" w:type="dxa"/>
            <w:vAlign w:val="bottom"/>
            <w:gridSpan w:val="6"/>
            <w:vMerge w:val="continue"/>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5160" w:type="dxa"/>
            <w:vAlign w:val="bottom"/>
            <w:gridSpan w:val="12"/>
          </w:tcPr>
          <w:p>
            <w:pPr>
              <w:spacing w:after="0" w:line="182" w:lineRule="exact"/>
              <w:rPr>
                <w:rFonts w:ascii="Arial" w:cs="Arial" w:eastAsia="Arial" w:hAnsi="Arial"/>
                <w:sz w:val="18"/>
                <w:szCs w:val="18"/>
                <w:color w:val="0000FF"/>
              </w:rPr>
            </w:pPr>
            <w:hyperlink w:anchor="page63">
              <w:r>
                <w:rPr>
                  <w:rFonts w:ascii="Arial" w:cs="Arial" w:eastAsia="Arial" w:hAnsi="Arial"/>
                  <w:sz w:val="18"/>
                  <w:szCs w:val="18"/>
                  <w:color w:val="0000FF"/>
                </w:rPr>
                <w:t>Certification of Principal Financial Officer Pursuant to 18 U.S.C.</w:t>
              </w:r>
            </w:hyperlink>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3"/>
          </w:tcPr>
          <w:p>
            <w:pPr>
              <w:spacing w:after="0" w:line="156" w:lineRule="exact"/>
              <w:rPr>
                <w:rFonts w:ascii="Arial" w:cs="Arial" w:eastAsia="Arial" w:hAnsi="Arial"/>
                <w:sz w:val="18"/>
                <w:szCs w:val="18"/>
                <w:color w:val="0000FF"/>
                <w:w w:val="88"/>
              </w:rPr>
            </w:pPr>
            <w:hyperlink w:anchor="page63">
              <w:r>
                <w:rPr>
                  <w:rFonts w:ascii="Arial" w:cs="Arial" w:eastAsia="Arial" w:hAnsi="Arial"/>
                  <w:sz w:val="18"/>
                  <w:szCs w:val="18"/>
                  <w:color w:val="0000FF"/>
                  <w:w w:val="88"/>
                </w:rPr>
                <w:t>Section 1350, as Adopted Pursuant to Section 906 of the Sarbanes</w:t>
              </w:r>
            </w:hyperlink>
          </w:p>
        </w:tc>
        <w:tc>
          <w:tcPr>
            <w:tcW w:w="380" w:type="dxa"/>
            <w:vAlign w:val="bottom"/>
            <w:gridSpan w:val="8"/>
          </w:tcPr>
          <w:p>
            <w:pPr>
              <w:jc w:val="right"/>
              <w:ind w:right="340"/>
              <w:spacing w:after="0"/>
              <w:rPr>
                <w:rFonts w:ascii="Arial" w:cs="Arial" w:eastAsia="Arial" w:hAnsi="Arial"/>
                <w:sz w:val="8"/>
                <w:szCs w:val="8"/>
                <w:color w:val="0000FF"/>
                <w:w w:val="73"/>
              </w:rPr>
            </w:pPr>
            <w:hyperlink w:anchor="page63">
              <w:r>
                <w:rPr>
                  <w:rFonts w:ascii="Arial" w:cs="Arial" w:eastAsia="Arial" w:hAnsi="Arial"/>
                  <w:sz w:val="8"/>
                  <w:szCs w:val="8"/>
                  <w:color w:val="0000FF"/>
                  <w:w w:val="73"/>
                </w:rPr>
                <w:t>-</w:t>
              </w:r>
            </w:hyperlink>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0" w:type="dxa"/>
            <w:vAlign w:val="bottom"/>
            <w:gridSpan w:val="5"/>
            <w:shd w:val="clear" w:color="auto" w:fill="0000FF"/>
          </w:tcPr>
          <w:p>
            <w:pPr>
              <w:spacing w:after="0" w:line="20" w:lineRule="exact"/>
              <w:rPr>
                <w:sz w:val="1"/>
                <w:szCs w:val="1"/>
                <w:color w:val="auto"/>
              </w:rPr>
            </w:pPr>
          </w:p>
        </w:tc>
        <w:tc>
          <w:tcPr>
            <w:tcW w:w="340" w:type="dxa"/>
            <w:vAlign w:val="bottom"/>
            <w:gridSpan w:val="6"/>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820" w:type="dxa"/>
            <w:vAlign w:val="bottom"/>
            <w:gridSpan w:val="6"/>
          </w:tcPr>
          <w:p>
            <w:pPr>
              <w:spacing w:after="0" w:line="156" w:lineRule="exact"/>
              <w:rPr>
                <w:rFonts w:ascii="Arial" w:cs="Arial" w:eastAsia="Arial" w:hAnsi="Arial"/>
                <w:sz w:val="18"/>
                <w:szCs w:val="18"/>
                <w:color w:val="0000FF"/>
              </w:rPr>
            </w:pPr>
            <w:hyperlink w:anchor="page63">
              <w:r>
                <w:rPr>
                  <w:rFonts w:ascii="Arial" w:cs="Arial" w:eastAsia="Arial" w:hAnsi="Arial"/>
                  <w:sz w:val="18"/>
                  <w:szCs w:val="18"/>
                  <w:color w:val="0000FF"/>
                </w:rPr>
                <w:t>Oxley Act of 2002.</w:t>
              </w:r>
            </w:hyperlink>
          </w:p>
        </w:tc>
        <w:tc>
          <w:tcPr>
            <w:tcW w:w="340" w:type="dxa"/>
            <w:vAlign w:val="bottom"/>
            <w:gridSpan w:val="6"/>
            <w:vMerge w:val="continue"/>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76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5160" w:type="dxa"/>
            <w:vAlign w:val="bottom"/>
            <w:gridSpan w:val="12"/>
          </w:tcPr>
          <w:p>
            <w:pPr>
              <w:spacing w:after="0" w:line="169" w:lineRule="exact"/>
              <w:rPr>
                <w:sz w:val="20"/>
                <w:szCs w:val="20"/>
                <w:color w:val="auto"/>
              </w:rPr>
            </w:pPr>
            <w:r>
              <w:rPr>
                <w:rFonts w:ascii="Arial" w:cs="Arial" w:eastAsia="Arial" w:hAnsi="Arial"/>
                <w:sz w:val="18"/>
                <w:szCs w:val="18"/>
                <w:color w:val="auto"/>
                <w:w w:val="96"/>
              </w:rPr>
              <w:t>Inline XBRL Instance Document – the instance document does not</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5160" w:type="dxa"/>
            <w:vAlign w:val="bottom"/>
            <w:gridSpan w:val="12"/>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160" w:type="dxa"/>
            <w:vAlign w:val="bottom"/>
            <w:gridSpan w:val="12"/>
          </w:tcPr>
          <w:p>
            <w:pPr>
              <w:spacing w:after="0" w:line="201" w:lineRule="exact"/>
              <w:rPr>
                <w:sz w:val="20"/>
                <w:szCs w:val="20"/>
                <w:color w:val="auto"/>
              </w:rPr>
            </w:pPr>
            <w:r>
              <w:rPr>
                <w:rFonts w:ascii="Arial" w:cs="Arial" w:eastAsia="Arial" w:hAnsi="Arial"/>
                <w:sz w:val="18"/>
                <w:szCs w:val="18"/>
                <w:color w:val="auto"/>
              </w:rPr>
              <w:t>embedded with the Inline XBRL document.</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51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5160" w:type="dxa"/>
            <w:vAlign w:val="bottom"/>
            <w:gridSpan w:val="12"/>
          </w:tcPr>
          <w:p>
            <w:pPr>
              <w:spacing w:after="0" w:line="202" w:lineRule="exact"/>
              <w:rPr>
                <w:sz w:val="20"/>
                <w:szCs w:val="20"/>
                <w:color w:val="auto"/>
              </w:rPr>
            </w:pPr>
            <w:r>
              <w:rPr>
                <w:rFonts w:ascii="Arial" w:cs="Arial" w:eastAsia="Arial" w:hAnsi="Arial"/>
                <w:sz w:val="18"/>
                <w:szCs w:val="18"/>
                <w:color w:val="auto"/>
                <w:w w:val="96"/>
              </w:rPr>
              <w:t>Inline XBRL Taxonomy Extension Calculation Linkbase Document.</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5160" w:type="dxa"/>
            <w:vAlign w:val="bottom"/>
            <w:gridSpan w:val="12"/>
          </w:tcPr>
          <w:p>
            <w:pPr>
              <w:spacing w:after="0" w:line="202" w:lineRule="exact"/>
              <w:rPr>
                <w:sz w:val="20"/>
                <w:szCs w:val="20"/>
                <w:color w:val="auto"/>
              </w:rPr>
            </w:pPr>
            <w:r>
              <w:rPr>
                <w:rFonts w:ascii="Arial" w:cs="Arial" w:eastAsia="Arial" w:hAnsi="Arial"/>
                <w:sz w:val="18"/>
                <w:szCs w:val="18"/>
                <w:color w:val="auto"/>
                <w:w w:val="99"/>
              </w:rPr>
              <w:t>Inline XBRL Taxonomy Extension Definition Linkbase Document.</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51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5160" w:type="dxa"/>
            <w:vAlign w:val="bottom"/>
            <w:gridSpan w:val="12"/>
          </w:tcPr>
          <w:p>
            <w:pPr>
              <w:spacing w:after="0" w:line="202" w:lineRule="exact"/>
              <w:rPr>
                <w:sz w:val="20"/>
                <w:szCs w:val="20"/>
                <w:color w:val="auto"/>
              </w:rPr>
            </w:pPr>
            <w:r>
              <w:rPr>
                <w:rFonts w:ascii="Arial" w:cs="Arial" w:eastAsia="Arial" w:hAnsi="Arial"/>
                <w:sz w:val="18"/>
                <w:szCs w:val="18"/>
                <w:color w:val="auto"/>
                <w:w w:val="94"/>
              </w:rPr>
              <w:t>Inline XBRL Taxonomy Extension Presentation Linkbase Document.</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5160" w:type="dxa"/>
            <w:vAlign w:val="bottom"/>
            <w:gridSpan w:val="12"/>
          </w:tcPr>
          <w:p>
            <w:pPr>
              <w:spacing w:after="0" w:line="176" w:lineRule="exact"/>
              <w:rPr>
                <w:sz w:val="20"/>
                <w:szCs w:val="20"/>
                <w:color w:val="auto"/>
              </w:rPr>
            </w:pPr>
            <w:r>
              <w:rPr>
                <w:rFonts w:ascii="Arial" w:cs="Arial" w:eastAsia="Arial" w:hAnsi="Arial"/>
                <w:sz w:val="18"/>
                <w:szCs w:val="18"/>
                <w:color w:val="auto"/>
                <w:w w:val="93"/>
              </w:rPr>
              <w:t>The cover page from the Registrant’s Quarterly Report on Form 10-Q</w:t>
            </w: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160" w:type="dxa"/>
            <w:vAlign w:val="bottom"/>
            <w:gridSpan w:val="12"/>
          </w:tcPr>
          <w:p>
            <w:pPr>
              <w:spacing w:after="0"/>
              <w:rPr>
                <w:sz w:val="20"/>
                <w:szCs w:val="20"/>
                <w:color w:val="auto"/>
              </w:rPr>
            </w:pPr>
            <w:r>
              <w:rPr>
                <w:rFonts w:ascii="Arial" w:cs="Arial" w:eastAsia="Arial" w:hAnsi="Arial"/>
                <w:sz w:val="18"/>
                <w:szCs w:val="18"/>
                <w:color w:val="auto"/>
              </w:rPr>
              <w:t>for the quarter ended June 30, 2022, formatted in Inline XBRL.</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11912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firstLine="8"/>
        <w:spacing w:after="0" w:line="324" w:lineRule="auto"/>
        <w:tabs>
          <w:tab w:leader="none" w:pos="1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CarGurus, Inc.</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Jason Trevisan</w:t>
      </w:r>
    </w:p>
    <w:p>
      <w:pPr>
        <w:ind w:left="604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 Fredo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Scot Fredo</w:t>
      </w:r>
    </w:p>
    <w:p>
      <w:pPr>
        <w:ind w:left="60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Jason Trevisan</w:t>
            </w:r>
          </w:p>
        </w:tc>
      </w:tr>
      <w:tr>
        <w:trPr>
          <w:trHeight w:val="155"/>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Jason Trevisan</w:t>
            </w:r>
          </w:p>
        </w:tc>
      </w:tr>
      <w:tr>
        <w:trPr>
          <w:trHeight w:val="176"/>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722"/>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Scot Fredo,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Scot Fredo</w:t>
            </w:r>
          </w:p>
        </w:tc>
      </w:tr>
      <w:tr>
        <w:trPr>
          <w:trHeight w:val="155"/>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Scot Fredo</w:t>
            </w:r>
          </w:p>
        </w:tc>
      </w:tr>
      <w:tr>
        <w:trPr>
          <w:trHeight w:val="176"/>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722"/>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Quarterly Report on Form 10-Q of CarGurus, Inc. (the “Company”) for the period ending June 30, 2022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82"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Jason Trevisan</w:t>
            </w:r>
          </w:p>
        </w:tc>
      </w:tr>
      <w:tr>
        <w:trPr>
          <w:trHeight w:val="155"/>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Jason Trevisan</w:t>
            </w:r>
          </w:p>
        </w:tc>
      </w:tr>
      <w:tr>
        <w:trPr>
          <w:trHeight w:val="176"/>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6"/>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360" w:firstLine="509"/>
        <w:spacing w:after="0" w:line="270"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June 30, 2022 as filed with the Securities and Exchange Commission on the date hereof (the “Report”), I, Scot Fredo, Chief Financial Officer of the Company, certify, pursuant to 18 U.S.C. § 1350, as adopted pursuant to § 906 of the Sarbanes-Oxley Act of 2002, that, based on my knowledge:</w:t>
      </w:r>
    </w:p>
    <w:p>
      <w:pPr>
        <w:spacing w:after="0" w:line="164"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Scot Fredo</w:t>
            </w:r>
          </w:p>
        </w:tc>
      </w:tr>
      <w:tr>
        <w:trPr>
          <w:trHeight w:val="155"/>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Scot Fredo</w:t>
            </w:r>
          </w:p>
        </w:tc>
      </w:tr>
      <w:tr>
        <w:trPr>
          <w:trHeight w:val="176"/>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722"/>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52" Type="http://schemas.openxmlformats.org/officeDocument/2006/relationships/hyperlink" Target="https://www.sec.gov/Archives/edgar/data/1494259/000095017022008509/carg-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2022-08-09T02:46:00Z</dcterms:created>
  <dcterms:modified xsi:type="dcterms:W3CDTF">2022-08-09T02:46:00Z</dcterms:modified>
</cp:coreProperties>
</file>