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Sarnoff Dafna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5,911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100,795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issuable upon settlement of restricted stock units ("RSUs") granted to the Reporting Person. Each RSU represents a contingent right to receive one share of the Issuer's Class A Common Stock. Subject to the Reporting Person's continuous service as an employee of the Issuer, 25% of the RSUs will vest on October 1, 2027 and 6.25% of the RSUs will vest on the first day of each three-month period thereafter until October 1, 2030. Such vesting may be accelerated in connection with a Change of Control (as defined in the Issuer's Omnibus Incentive Compensation Plan).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7130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3569</Characters>
  <CharactersWithSpaces>4163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