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36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CARGURUS,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680" w:type="dxa"/>
        <w:tblCellMar>
          <w:top w:w="0" w:type="dxa"/>
          <w:left w:w="0" w:type="dxa"/>
          <w:bottom w:w="0" w:type="dxa"/>
          <w:right w:w="0" w:type="dxa"/>
        </w:tblCellMar>
      </w:tblPr>
      <w:tr>
        <w:trPr>
          <w:trHeight w:val="214"/>
        </w:trPr>
        <w:tc>
          <w:tcPr>
            <w:tcW w:w="6280" w:type="dxa"/>
            <w:vAlign w:val="bottom"/>
            <w:gridSpan w:val="3"/>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04-3843478</w:t>
            </w:r>
          </w:p>
        </w:tc>
      </w:tr>
      <w:tr>
        <w:trPr>
          <w:trHeight w:val="149"/>
        </w:trPr>
        <w:tc>
          <w:tcPr>
            <w:tcW w:w="6280" w:type="dxa"/>
            <w:vAlign w:val="bottom"/>
            <w:gridSpan w:val="3"/>
          </w:tcPr>
          <w:p>
            <w:pPr>
              <w:jc w:val="center"/>
              <w:ind w:right="39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80" w:type="dxa"/>
            <w:vAlign w:val="bottom"/>
            <w:gridSpan w:val="3"/>
          </w:tcPr>
          <w:p>
            <w:pPr>
              <w:jc w:val="center"/>
              <w:ind w:right="3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6280" w:type="dxa"/>
            <w:vAlign w:val="bottom"/>
            <w:gridSpan w:val="3"/>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9"/>
              </w:rPr>
              <w:t>2 Canal Park, 4th Floor</w:t>
            </w:r>
          </w:p>
        </w:tc>
        <w:tc>
          <w:tcPr>
            <w:tcW w:w="1180" w:type="dxa"/>
            <w:vAlign w:val="bottom"/>
          </w:tcPr>
          <w:p>
            <w:pPr>
              <w:spacing w:after="0"/>
              <w:rPr>
                <w:sz w:val="23"/>
                <w:szCs w:val="23"/>
                <w:color w:val="auto"/>
              </w:rPr>
            </w:pPr>
          </w:p>
        </w:tc>
      </w:tr>
      <w:tr>
        <w:trPr>
          <w:trHeight w:val="214"/>
        </w:trPr>
        <w:tc>
          <w:tcPr>
            <w:tcW w:w="6280" w:type="dxa"/>
            <w:vAlign w:val="bottom"/>
            <w:gridSpan w:val="3"/>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02141</w:t>
            </w:r>
          </w:p>
        </w:tc>
      </w:tr>
      <w:tr>
        <w:trPr>
          <w:trHeight w:val="190"/>
        </w:trPr>
        <w:tc>
          <w:tcPr>
            <w:tcW w:w="6280" w:type="dxa"/>
            <w:vAlign w:val="bottom"/>
            <w:gridSpan w:val="3"/>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05"/>
        </w:trPr>
        <w:tc>
          <w:tcPr>
            <w:tcW w:w="6280" w:type="dxa"/>
            <w:vAlign w:val="bottom"/>
            <w:gridSpan w:val="3"/>
          </w:tcPr>
          <w:p>
            <w:pPr>
              <w:ind w:left="184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(617) 354-0068</w:t>
            </w:r>
          </w:p>
        </w:tc>
        <w:tc>
          <w:tcPr>
            <w:tcW w:w="1180" w:type="dxa"/>
            <w:vAlign w:val="bottom"/>
          </w:tcPr>
          <w:p>
            <w:pPr>
              <w:spacing w:after="0"/>
              <w:rPr>
                <w:sz w:val="17"/>
                <w:szCs w:val="17"/>
                <w:color w:val="auto"/>
              </w:rPr>
            </w:pPr>
          </w:p>
        </w:tc>
      </w:tr>
      <w:tr>
        <w:trPr>
          <w:trHeight w:val="22"/>
        </w:trPr>
        <w:tc>
          <w:tcPr>
            <w:tcW w:w="29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29" w:lineRule="exact"/>
        <w:rPr>
          <w:sz w:val="24"/>
          <w:szCs w:val="24"/>
          <w:color w:val="auto"/>
        </w:rPr>
      </w:pPr>
    </w:p>
    <w:p>
      <w:pPr>
        <w:ind w:firstLine="518"/>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ind w:right="540" w:firstLine="518"/>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Times New Roman" w:cs="Times New Roman" w:eastAsia="Times New Roman" w:hAnsi="Times New Roman"/>
          <w:sz w:val="17"/>
          <w:szCs w:val="17"/>
          <w:color w:val="auto"/>
        </w:rPr>
        <w:t>files).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ind w:right="60" w:firstLine="518"/>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Accelerated filer</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Small reporting company</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532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3" w:lineRule="exact"/>
        <w:rPr>
          <w:sz w:val="24"/>
          <w:szCs w:val="24"/>
          <w:color w:val="auto"/>
        </w:rPr>
      </w:pPr>
    </w:p>
    <w:p>
      <w:pPr>
        <w:ind w:right="180" w:firstLine="518"/>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 w:lineRule="exact"/>
        <w:rPr>
          <w:sz w:val="24"/>
          <w:szCs w:val="24"/>
          <w:color w:val="auto"/>
        </w:rPr>
      </w:pPr>
    </w:p>
    <w:p>
      <w:pPr>
        <w:ind w:left="520"/>
        <w:spacing w:after="0" w:line="196" w:lineRule="exact"/>
        <w:tabs>
          <w:tab w:leader="none" w:pos="8440" w:val="left"/>
          <w:tab w:leader="none" w:pos="910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48" w:lineRule="exact"/>
        <w:rPr>
          <w:sz w:val="24"/>
          <w:szCs w:val="24"/>
          <w:color w:val="auto"/>
        </w:rPr>
      </w:pPr>
    </w:p>
    <w:tbl>
      <w:tblPr>
        <w:tblLayout w:type="fixed"/>
        <w:tblInd w:w="720" w:type="dxa"/>
        <w:tblCellMar>
          <w:top w:w="0" w:type="dxa"/>
          <w:left w:w="0" w:type="dxa"/>
          <w:bottom w:w="0" w:type="dxa"/>
          <w:right w:w="0" w:type="dxa"/>
        </w:tblCellMar>
      </w:tblPr>
      <w:tr>
        <w:trPr>
          <w:trHeight w:val="172"/>
        </w:trPr>
        <w:tc>
          <w:tcPr>
            <w:tcW w:w="96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00" w:type="dxa"/>
            <w:vAlign w:val="bottom"/>
            <w:gridSpan w:val="3"/>
          </w:tcPr>
          <w:p>
            <w:pPr>
              <w:jc w:val="center"/>
              <w:ind w:left="103"/>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110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0"/>
              </w:rPr>
              <w:t>Class A Common</w:t>
            </w:r>
          </w:p>
        </w:tc>
        <w:tc>
          <w:tcPr>
            <w:tcW w:w="12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1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83"/>
              </w:rPr>
              <w:t>The Nasdaq</w:t>
            </w:r>
          </w:p>
        </w:tc>
        <w:tc>
          <w:tcPr>
            <w:tcW w:w="2640" w:type="dxa"/>
            <w:vAlign w:val="bottom"/>
            <w:shd w:val="clear" w:color="auto" w:fill="000000"/>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6"/>
              </w:rPr>
              <w:t>Market)</w:t>
            </w:r>
          </w:p>
        </w:tc>
        <w:tc>
          <w:tcPr>
            <w:tcW w:w="0" w:type="dxa"/>
            <w:vAlign w:val="bottom"/>
          </w:tcPr>
          <w:p>
            <w:pPr>
              <w:spacing w:after="0" w:line="20" w:lineRule="exact"/>
              <w:rPr>
                <w:sz w:val="1"/>
                <w:szCs w:val="1"/>
                <w:color w:val="auto"/>
              </w:rPr>
            </w:pPr>
          </w:p>
        </w:tc>
      </w:tr>
      <w:tr>
        <w:trPr>
          <w:trHeight w:val="184"/>
        </w:trPr>
        <w:tc>
          <w:tcPr>
            <w:tcW w:w="960" w:type="dxa"/>
            <w:vAlign w:val="bottom"/>
            <w:vMerge w:val="continue"/>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par value $0.001 per share</w:t>
            </w:r>
          </w:p>
        </w:tc>
        <w:tc>
          <w:tcPr>
            <w:tcW w:w="66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CARG</w:t>
            </w:r>
          </w:p>
        </w:tc>
        <w:tc>
          <w:tcPr>
            <w:tcW w:w="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Stock Market LLC (Nasdaq Global Select</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ind w:right="320" w:firstLine="518"/>
        <w:spacing w:after="0" w:line="281" w:lineRule="auto"/>
        <w:rPr>
          <w:sz w:val="20"/>
          <w:szCs w:val="20"/>
          <w:color w:val="auto"/>
        </w:rPr>
      </w:pPr>
      <w:r>
        <w:rPr>
          <w:rFonts w:ascii="Times New Roman" w:cs="Times New Roman" w:eastAsia="Times New Roman" w:hAnsi="Times New Roman"/>
          <w:sz w:val="17"/>
          <w:szCs w:val="17"/>
          <w:color w:val="auto"/>
        </w:rPr>
        <w:t>As of May 3, 2019, the registrant had 90,537,641 shares of Class A common stock, $0.001 par value per share, and 20,702,084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2"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7"/>
            <w:vMerge w:val="restart"/>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FINANCIAL INFORMATION</w:t>
              </w:r>
            </w:hyperlink>
          </w:p>
        </w:tc>
        <w:tc>
          <w:tcPr>
            <w:tcW w:w="7180" w:type="dxa"/>
            <w:vAlign w:val="bottom"/>
            <w:gridSpan w:val="9"/>
            <w:vMerge w:val="restart"/>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12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7"/>
            <w:vMerge w:val="continue"/>
          </w:tcPr>
          <w:p>
            <w:pPr>
              <w:spacing w:after="0"/>
              <w:rPr>
                <w:sz w:val="15"/>
                <w:szCs w:val="15"/>
                <w:color w:val="auto"/>
              </w:rPr>
            </w:pPr>
          </w:p>
        </w:tc>
        <w:tc>
          <w:tcPr>
            <w:tcW w:w="7180" w:type="dxa"/>
            <w:vAlign w:val="bottom"/>
            <w:gridSpan w:val="9"/>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Condensed Consolidated Balance Sheets</w:t>
              </w:r>
            </w:hyperlink>
          </w:p>
        </w:tc>
        <w:tc>
          <w:tcPr>
            <w:tcW w:w="584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Consolidated Income Statements</w:t>
              </w:r>
            </w:hyperlink>
          </w:p>
        </w:tc>
        <w:tc>
          <w:tcPr>
            <w:tcW w:w="55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Unaudited Condensed Consolidated Statements of Stockholders’ Equity</w:t>
              </w:r>
            </w:hyperlink>
          </w:p>
        </w:tc>
        <w:tc>
          <w:tcPr>
            <w:tcW w:w="180" w:type="dxa"/>
            <w:vAlign w:val="bottom"/>
            <w:tcBorders>
              <w:top w:val="single" w:sz="8" w:color="0000EE"/>
            </w:tcBorders>
          </w:tcPr>
          <w:p>
            <w:pPr>
              <w:spacing w:after="0"/>
              <w:rPr>
                <w:sz w:val="18"/>
                <w:szCs w:val="18"/>
                <w:color w:val="auto"/>
              </w:rPr>
            </w:pPr>
          </w:p>
        </w:tc>
        <w:tc>
          <w:tcPr>
            <w:tcW w:w="420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Condensed Consolidated Statements of Cash Flows</w:t>
              </w:r>
            </w:hyperlink>
          </w:p>
        </w:tc>
        <w:tc>
          <w:tcPr>
            <w:tcW w:w="50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Unaudited Condensed Consolidated Financial Statements</w:t>
              </w:r>
            </w:hyperlink>
          </w:p>
        </w:tc>
        <w:tc>
          <w:tcPr>
            <w:tcW w:w="47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6"/>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Quantitative and Qualitative Disclosures About Market Risk</w:t>
              </w:r>
            </w:hyperlink>
          </w:p>
        </w:tc>
        <w:tc>
          <w:tcPr>
            <w:tcW w:w="3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Controls and Procedures</w:t>
              </w:r>
            </w:hyperlink>
          </w:p>
        </w:tc>
        <w:tc>
          <w:tcPr>
            <w:tcW w:w="2580" w:type="dxa"/>
            <w:vAlign w:val="bottom"/>
            <w:tcBorders>
              <w:top w:val="single" w:sz="8" w:color="0000EE"/>
            </w:tcBorders>
            <w:gridSpan w:val="5"/>
          </w:tcPr>
          <w:p>
            <w:pPr>
              <w:spacing w:after="0"/>
              <w:rPr>
                <w:sz w:val="18"/>
                <w:szCs w:val="18"/>
                <w:color w:val="auto"/>
              </w:rPr>
            </w:pPr>
          </w:p>
        </w:tc>
        <w:tc>
          <w:tcPr>
            <w:tcW w:w="522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26"/>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16"/>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Legal Proceedings</w:t>
              </w:r>
            </w:hyperlink>
          </w:p>
        </w:tc>
        <w:tc>
          <w:tcPr>
            <w:tcW w:w="680" w:type="dxa"/>
            <w:vAlign w:val="bottom"/>
            <w:tcBorders>
              <w:top w:val="single" w:sz="8" w:color="0000EE"/>
            </w:tcBorders>
            <w:gridSpan w:val="3"/>
          </w:tcPr>
          <w:p>
            <w:pPr>
              <w:spacing w:after="0"/>
              <w:rPr>
                <w:sz w:val="18"/>
                <w:szCs w:val="18"/>
                <w:color w:val="auto"/>
              </w:rPr>
            </w:pPr>
          </w:p>
        </w:tc>
        <w:tc>
          <w:tcPr>
            <w:tcW w:w="756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Exhibits</w:t>
              </w:r>
            </w:hyperlink>
          </w:p>
        </w:tc>
        <w:tc>
          <w:tcPr>
            <w:tcW w:w="868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line="207" w:lineRule="exact"/>
        <w:rPr>
          <w:sz w:val="20"/>
          <w:szCs w:val="20"/>
          <w:color w:val="auto"/>
        </w:rPr>
      </w:pPr>
      <w:r>
        <w:rPr>
          <w:rFonts w:ascii="Times New Roman" w:cs="Times New Roman" w:eastAsia="Times New Roman" w:hAnsi="Times New Roman"/>
          <w:sz w:val="18"/>
          <w:szCs w:val="18"/>
          <w:b w:val="1"/>
          <w:bCs w:val="1"/>
          <w:color w:val="auto"/>
        </w:rPr>
        <w:t>SPECIAL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25" w:lineRule="exact"/>
        <w:rPr>
          <w:sz w:val="20"/>
          <w:szCs w:val="20"/>
          <w:color w:val="auto"/>
        </w:rPr>
      </w:pPr>
    </w:p>
    <w:p>
      <w:pPr>
        <w:jc w:val="both"/>
        <w:ind w:firstLine="518"/>
        <w:spacing w:after="0" w:line="226" w:lineRule="exact"/>
        <w:rPr>
          <w:sz w:val="20"/>
          <w:szCs w:val="20"/>
          <w:color w:val="auto"/>
        </w:rPr>
      </w:pPr>
      <w:r>
        <w:rPr>
          <w:rFonts w:ascii="Times New Roman" w:cs="Times New Roman" w:eastAsia="Times New Roman" w:hAnsi="Times New Roman"/>
          <w:sz w:val="18"/>
          <w:szCs w:val="18"/>
          <w:color w:val="auto"/>
        </w:rPr>
        <w:t>This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federal securities laws, which statements involve substantial risks and uncertainties.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generally relate to future events or our future financial or operating performance. In some cases, you can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2" w:lineRule="exact"/>
        <w:rPr>
          <w:sz w:val="20"/>
          <w:szCs w:val="20"/>
          <w:color w:val="auto"/>
        </w:rPr>
      </w:pPr>
    </w:p>
    <w:p>
      <w:pPr>
        <w:ind w:left="900" w:right="20" w:hanging="379"/>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and growth strategies and our ability to effectively manage that growth;</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build our brand;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internationally;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our acquisition of PistonHeads and successfully implement the integration strategies in connection therewith;</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accounting pronouncements;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necessary qualified employees to expand our operations;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migration of some of our data-hosting to a different third-party data-hosting facility;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w:t>
      </w:r>
    </w:p>
    <w:p>
      <w:pPr>
        <w:spacing w:after="0" w:line="117"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challenges facing the automotive industry ecosystem, including global supply chain challenges, changes to trade policies and other macroeconomic issues;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 effective system of internal controls necessary to accurately report our financial results and prevent fraud;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cash generation and the sufficiency of our cash to fund our operations;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97" w:lineRule="exact"/>
        <w:rPr>
          <w:sz w:val="20"/>
          <w:szCs w:val="20"/>
          <w:color w:val="auto"/>
        </w:rPr>
      </w:pPr>
    </w:p>
    <w:p>
      <w:pPr>
        <w:jc w:val="both"/>
        <w:ind w:firstLine="518"/>
        <w:spacing w:after="0" w:line="224"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have based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Further,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and actual results, events, or circumstances could differ materially from those described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151" w:lineRule="exact"/>
        <w:rPr>
          <w:sz w:val="20"/>
          <w:szCs w:val="20"/>
          <w:color w:val="auto"/>
        </w:rPr>
      </w:pPr>
    </w:p>
    <w:p>
      <w:pPr>
        <w:jc w:val="both"/>
        <w:ind w:firstLine="518"/>
        <w:spacing w:after="0" w:line="232" w:lineRule="exact"/>
        <w:rPr>
          <w:sz w:val="20"/>
          <w:szCs w:val="20"/>
          <w:color w:val="auto"/>
        </w:rPr>
      </w:pPr>
      <w:r>
        <w:rPr>
          <w:rFonts w:ascii="Times New Roman" w:cs="Times New Roman" w:eastAsia="Times New Roman" w:hAnsi="Times New Roman"/>
          <w:sz w:val="18"/>
          <w:szCs w:val="18"/>
          <w:color w:val="auto"/>
        </w:rPr>
        <w:t>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29,939</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Investments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2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$223</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and $479, respectively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15,111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Prepaid expenses and prepaid income taxes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Deferred contract costs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6,591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26,550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15,852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contract costs, net of current portion</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8,446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331,927</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35,253</w:t>
            </w:r>
          </w:p>
        </w:tc>
        <w:tc>
          <w:tcPr>
            <w:tcW w:w="100" w:type="dxa"/>
            <w:vAlign w:val="bottom"/>
          </w:tcPr>
          <w:p>
            <w:pPr>
              <w:spacing w:after="0"/>
              <w:rPr>
                <w:sz w:val="18"/>
                <w:szCs w:val="18"/>
                <w:color w:val="auto"/>
              </w:rPr>
            </w:pP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expenses, accrued income taxes and other 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13,793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7,486</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52,956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2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Class A common stock, $0.001 par value per share; 500,000,000 shares</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authorized; 90,370,773 and 89,728,223 shares issued and outstanding</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at March 31, 2019 and December 31, 2018, respectively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82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Class B common stock, $0.001 par value per share; 100,000,000 shares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authorized; 20,702,084 and 20,702,084 shares issued and outstanding</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at March 31, 2019 and December 31, 2018, respectively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188,954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(353)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211,009</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194,111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331,927</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668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15"/>
                <w:szCs w:val="15"/>
                <w:color w:val="auto"/>
              </w:rPr>
              <w:t>(1)</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1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(Note 10)</w:t>
            </w: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680" w:type="dxa"/>
            <w:vAlign w:val="bottom"/>
            <w:shd w:val="clear" w:color="auto" w:fill="CFF0FC"/>
          </w:tcPr>
          <w:p>
            <w:pPr>
              <w:ind w:left="260"/>
              <w:spacing w:after="0" w:line="192" w:lineRule="exact"/>
              <w:rPr>
                <w:sz w:val="20"/>
                <w:szCs w:val="20"/>
                <w:color w:val="auto"/>
              </w:rPr>
            </w:pPr>
            <w:r>
              <w:rPr>
                <w:rFonts w:ascii="Times New Roman" w:cs="Times New Roman" w:eastAsia="Times New Roman" w:hAnsi="Times New Roman"/>
                <w:sz w:val="18"/>
                <w:szCs w:val="18"/>
                <w:color w:val="auto"/>
              </w:rPr>
              <w:t>Weighted-average number of shares of common stock used in computing</w:t>
            </w:r>
          </w:p>
        </w:tc>
        <w:tc>
          <w:tcPr>
            <w:tcW w:w="1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110,800,037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106,942,799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113,406,320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113,341,308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700" w:right="1420" w:hanging="1692"/>
        <w:spacing w:after="0" w:line="392" w:lineRule="auto"/>
        <w:tabs>
          <w:tab w:leader="none" w:pos="391"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depreciation and amortization expense for the three months ended March 31, 2019 and 2018 of $560 and $504, respectively. The accompanying notes are an integral part of these Unaudited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48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60" w:type="dxa"/>
            <w:vAlign w:val="bottom"/>
            <w:gridSpan w:val="3"/>
            <w:vMerge w:val="restart"/>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vMerge w:val="restart"/>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1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18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89,728,223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20,702,084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exercise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297,374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Payment of withholding taxes on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 of equity awards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(102,034)</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90,370,773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20,702,084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860" w:type="dxa"/>
            <w:vAlign w:val="bottom"/>
          </w:tcPr>
          <w:p>
            <w:pPr>
              <w:spacing w:after="0"/>
              <w:rPr>
                <w:sz w:val="24"/>
                <w:szCs w:val="24"/>
                <w:color w:val="auto"/>
              </w:rPr>
            </w:pPr>
          </w:p>
        </w:tc>
        <w:tc>
          <w:tcPr>
            <w:tcW w:w="1260" w:type="dxa"/>
            <w:vAlign w:val="bottom"/>
            <w:gridSpan w:val="3"/>
            <w:vMerge w:val="restart"/>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vMerge w:val="restart"/>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1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5"/>
                <w:szCs w:val="15"/>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77,884,754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28,226,104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exercise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adjustment from adoption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 recognition model</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7,534,710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(7,534,710)</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85,426,038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20,702,084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818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currency (gain) loss on foreign denominated transactions</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8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(3,692)</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contract costs</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prepaid income taxes, and other assets</w:t>
            </w:r>
          </w:p>
        </w:tc>
        <w:tc>
          <w:tcPr>
            <w:tcW w:w="8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contract costs</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(4,376)</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accrued income taxes, and other current liabilities</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(4,009)</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obligations</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(5,700)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website development costs</w:t>
            </w:r>
          </w:p>
        </w:tc>
        <w:tc>
          <w:tcPr>
            <w:tcW w:w="8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acquisition</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(19,139)</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certificates of deposit</w:t>
            </w:r>
          </w:p>
        </w:tc>
        <w:tc>
          <w:tcPr>
            <w:tcW w:w="8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(25,700)</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certificates of deposit</w:t>
            </w: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(11,350)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initial public offering costs</w:t>
            </w:r>
          </w:p>
        </w:tc>
        <w:tc>
          <w:tcPr>
            <w:tcW w:w="8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(3,954)</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(4,951)</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(25,679)</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84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stock-based compensation expense in website development costs</w:t>
            </w:r>
          </w:p>
        </w:tc>
        <w:tc>
          <w:tcPr>
            <w:tcW w:w="84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840" w:type="dxa"/>
            <w:vAlign w:val="bottom"/>
            <w:tcBorders>
              <w:top w:val="single" w:sz="8" w:color="auto"/>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Description</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80"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is headquartered in Cambridge, Massachusetts and was incorporated in the State of Delaware on June 26, 2015. The Company operates principally in the United States and has also launched online marketplaces in Canada, the United Kingdom, Germany, Italy, and Spain. The Company has subsidiaries in the United States, Canada, Ireland, and the United Kingdom.</w:t>
      </w:r>
    </w:p>
    <w:p>
      <w:pPr>
        <w:spacing w:after="0" w:line="244"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(the “Unaudited Condensed Consolidated Financial Statements”) are unaudited. These Unaudited Condensed Consolidated Financial Statements should be read in conjunction with the Company’s audited consolidated financial statements and the notes thereto for the year ended December 31, 2018 included in the Company’s Annual Report on Form 10-K for the year ended December 31, 2018, filed with the Securities and Exchange Commission (“SEC”) on February 28, 2019 (the “2018 Annual Report”).</w:t>
      </w:r>
    </w:p>
    <w:p>
      <w:pPr>
        <w:spacing w:after="0" w:line="180"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pursuant to the rules and regulations of the SEC. Accordingly, certain information and footnote disclosures normally included in financial statements prepared in accordance with generally accepted accounting principles in the United States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March 31, 2019 and December 31, 2018, results of operations, comprehensive income, changes in shareholders’ equity and cash flows for the three months ended March 31, 2019 and 2018. These interim period results are not necessarily indicative of the results to be expected for any other interim period or the full year.</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the results of operations for the three months ended March 31, 2019 and 2018, the Company has separately presented interest income from other income, net due to the increase in amount during the three months ended March 31, 2019 as compared to the three months ended March 31, 2018. Additionally, the results of operations and statement of cash flows for the three months ended March 31, 2018, were adjusted due to the impact of the adoption of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the application of certain significant accounting policies as described below and elsewhere in these notes to the Unaudited Condensed Consolidated Financial Statements. As of March 31, 2019, there have been no material changes in the Company's significant accounting policies from those that were disclosed in the 2018 Annual Report, other than those resulting from the adoption of ASC 842, which is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CarGurus, Inc. and its subsidiaries. All intercompany balances and transactions have been eliminated in consolidation. The Company prepares its Unaudited Condensed Consolidated Financial Statements and related disclosures in conformity with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Subsequent Event Considerations</w:t>
      </w:r>
    </w:p>
    <w:p>
      <w:pPr>
        <w:spacing w:after="0" w:line="11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76" w:lineRule="exact"/>
        <w:rPr>
          <w:sz w:val="20"/>
          <w:szCs w:val="20"/>
          <w:color w:val="auto"/>
        </w:rPr>
      </w:pPr>
    </w:p>
    <w:p>
      <w:pPr>
        <w:jc w:val="both"/>
        <w:ind w:right="20" w:firstLine="518"/>
        <w:spacing w:after="0" w:line="229" w:lineRule="exact"/>
        <w:rPr>
          <w:sz w:val="20"/>
          <w:szCs w:val="20"/>
          <w:color w:val="auto"/>
        </w:rPr>
      </w:pPr>
      <w:r>
        <w:rPr>
          <w:rFonts w:ascii="Times New Roman" w:cs="Times New Roman" w:eastAsia="Times New Roman" w:hAnsi="Times New Roman"/>
          <w:sz w:val="18"/>
          <w:szCs w:val="18"/>
          <w:color w:val="auto"/>
        </w:rPr>
        <w:t>Significant estimates relied upon in preparing these Unaudited Condensed Consolidated Financial Statements include revenue recognition and revenue reserve, the valuation of goodwill and intangible assets, the capitalization of product, technology, and development costs for website development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and the recoverability of the Company’s net deferred tax assets and related valuation allowance.</w:t>
      </w:r>
    </w:p>
    <w:p>
      <w:pPr>
        <w:spacing w:after="0" w:line="179"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90" w:lineRule="exact"/>
        <w:rPr>
          <w:sz w:val="20"/>
          <w:szCs w:val="20"/>
          <w:color w:val="auto"/>
        </w:rPr>
      </w:pPr>
    </w:p>
    <w:p>
      <w:pPr>
        <w:jc w:val="both"/>
        <w:ind w:right="20" w:firstLine="518"/>
        <w:spacing w:after="0" w:line="226" w:lineRule="exact"/>
        <w:rPr>
          <w:sz w:val="20"/>
          <w:szCs w:val="20"/>
          <w:color w:val="auto"/>
        </w:rPr>
      </w:pPr>
      <w:r>
        <w:rPr>
          <w:rFonts w:ascii="Times New Roman" w:cs="Times New Roman" w:eastAsia="Times New Roman" w:hAnsi="Times New Roman"/>
          <w:sz w:val="18"/>
          <w:szCs w:val="18"/>
          <w:color w:val="auto"/>
        </w:rPr>
        <w:t>The Company has no significant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 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200"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0"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the year ended December 31, 2018, no individual customer accounted for more than 10% of total revenue.</w:t>
      </w:r>
    </w:p>
    <w:p>
      <w:pPr>
        <w:spacing w:after="0" w:line="162"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one customer accounted for 13% of net accounts receivable. As of December 31, 2018, two customers accounted for 21% and 14% of net accounts receivable, respectively. No other individual customer accounted for more than 10% of net accounts receivable at March 31, 2019 or December 31, 2018.</w:t>
      </w:r>
    </w:p>
    <w:p>
      <w:pPr>
        <w:spacing w:after="0" w:line="176" w:lineRule="exact"/>
        <w:rPr>
          <w:sz w:val="20"/>
          <w:szCs w:val="20"/>
          <w:color w:val="auto"/>
        </w:rPr>
      </w:pPr>
    </w:p>
    <w:p>
      <w:pPr>
        <w:jc w:val="both"/>
        <w:ind w:right="40" w:firstLine="518"/>
        <w:spacing w:after="0" w:line="282" w:lineRule="auto"/>
        <w:rPr>
          <w:sz w:val="20"/>
          <w:szCs w:val="20"/>
          <w:color w:val="auto"/>
        </w:rPr>
      </w:pPr>
      <w:r>
        <w:rPr>
          <w:rFonts w:ascii="Times New Roman" w:cs="Times New Roman" w:eastAsia="Times New Roman" w:hAnsi="Times New Roman"/>
          <w:sz w:val="18"/>
          <w:szCs w:val="18"/>
          <w:color w:val="auto"/>
        </w:rPr>
        <w:t>Included in net accounts receivable at March 31, 2019 and December 31, 2018, is $7,329 and $5,815, respectively, of unbilled accounts receivable related to advertising customers billed within a quarter subsequent to services rendered.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 by revenue source for the three months ended March 31, 2019 and 2018.</w:t>
      </w:r>
    </w:p>
    <w:p>
      <w:pPr>
        <w:spacing w:after="0" w:line="232"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338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Revenue Stream</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Marketplace subscription revenue</w:t>
            </w: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120,843</w:t>
            </w:r>
          </w:p>
        </w:tc>
        <w:tc>
          <w:tcPr>
            <w:tcW w:w="5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Advertising and other revenue</w:t>
            </w:r>
          </w:p>
        </w:tc>
        <w:tc>
          <w:tcPr>
            <w:tcW w:w="1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4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9" w:right="219" w:bottom="1440" w:gutter="0" w:footer="0" w:header="0"/>
        </w:sectPr>
      </w:pPr>
    </w:p>
    <w:bookmarkStart w:id="10" w:name="page11"/>
    <w:bookmarkEnd w:id="10"/>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the marketplace subscription versus advertising and other revenue classification in the table above and based on geographic region (see Note 12) as it believes these categories best depict how the nature, amount, timing and uncertainty of revenue and cash flows are affected by economic factors.</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Topic 606 requires that the Company disclose the aggregate amount of transaction price that is allocated to performance obligations that have not yet been satisfied as of the relevant quarter end. However, the Company has applied the practical expedient available under Topic 606 to not disclose the amount of transaction price allocated to unsatisfied performance obligations when any such performance obligation was part of a contract having an original expected duration of one year or less.</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Company does not have future obligations associated with marketplace revenue subscriptions or advertising and other services that extend beyond one year. For performance obligations not satisfied as of March 31, 2019, the nature of the performance obligations, the variable consideration and any consideration from contracts with customers not included in the transaction price is consistent with performance obligations satisfied as of March 31, 2019. The remaining duration is less than one year.</w:t>
      </w:r>
    </w:p>
    <w:p>
      <w:pPr>
        <w:spacing w:after="0" w:line="180"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2019 from amounts included in deferred revenue at the beginning of the period was approximately $8,792.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2016, the Financial Accounting Standards Board (the “FASB”) issued Accounting Standards Update (“ASU”) No. 2016-02, Leases (Topic</w:t>
      </w:r>
    </w:p>
    <w:p>
      <w:pPr>
        <w:spacing w:after="0" w:line="27" w:lineRule="exact"/>
        <w:rPr>
          <w:sz w:val="20"/>
          <w:szCs w:val="20"/>
          <w:color w:val="auto"/>
        </w:rPr>
      </w:pPr>
    </w:p>
    <w:p>
      <w:pPr>
        <w:jc w:val="both"/>
        <w:ind w:firstLine="8"/>
        <w:spacing w:after="0" w:line="252" w:lineRule="auto"/>
        <w:tabs>
          <w:tab w:leader="none" w:pos="3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“ASC 842”). ASC 842 requires a lessee to recognize most leases on the Unaudited Condensed Consolidated Balance Sheet but recognize expenses on the Unaudited Condensed Consolidated Income Statement in a manner similar to current practice. The update states that a lessee will recognize a lease liability for the obligation to make lease payments and a right-to-use asset for the right to use the underlying assets for the lease term. The Company adopted ASC 842 as of January 1, 2019, using the additional transition method offered through ASU No. 2018-11. This approach provides a method for recording existing leases at the adoption date and recognizing a cumulative-effect adjustment to the opening balance of retained earnings in the period of adoption.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Overview</w:t>
      </w:r>
    </w:p>
    <w:p>
      <w:pPr>
        <w:spacing w:after="0" w:line="117"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Company’s operating lease obligations consist of various leases for office space in: Cambridge, Massachusetts; Detroit, Michigan; Los Angeles, California; Dublin, Ireland; and London, United Kingdom. The Detroit, Los Angeles and London leases are immaterial to the Company.</w:t>
      </w:r>
    </w:p>
    <w:p>
      <w:pPr>
        <w:spacing w:after="0" w:line="16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June 19, 2018, the Company entered into an operating lease in Cambridge, Massachusetts at 121 First St. for the lease of 48,393 square feet of office space with a non-cancellable lease term through 2033 with an option to extend the lease term for two additional periods of five years each. The Company subleases the fifth floor and records the sublease income in other income, net within the Unaudited Condensed Consolidated Income Statement. The sublease income is immaterial.</w:t>
      </w:r>
    </w:p>
    <w:p>
      <w:pPr>
        <w:spacing w:after="0" w:line="180"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On March 11, 2016, the Company entered into an operating lease in Cambridge, Massachusetts at 55 Cambridge Parkway for the lease of 51,923 square feet of office space with a non-cancellable lease term through 2024 with an option to extend the lease term for one additional period of five years.</w:t>
      </w:r>
    </w:p>
    <w:p>
      <w:pPr>
        <w:spacing w:after="0" w:line="16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On October 8, 2014, the Company entered into an operating lease in Cambridge, Massachusetts at 2 Canal Park for the lease of 48,059 square feet of office space with a non-cancellable lease term through 2022 with an option to extend the lease term for one additional period of five years.</w:t>
      </w:r>
    </w:p>
    <w:p>
      <w:pPr>
        <w:spacing w:after="0" w:line="162" w:lineRule="exact"/>
        <w:rPr>
          <w:sz w:val="20"/>
          <w:szCs w:val="20"/>
          <w:color w:val="auto"/>
        </w:rPr>
      </w:pPr>
    </w:p>
    <w:p>
      <w:pPr>
        <w:jc w:val="both"/>
        <w:ind w:firstLine="518"/>
        <w:spacing w:after="0" w:line="219" w:lineRule="exact"/>
        <w:rPr>
          <w:sz w:val="20"/>
          <w:szCs w:val="20"/>
          <w:color w:val="auto"/>
        </w:rPr>
      </w:pPr>
      <w:r>
        <w:rPr>
          <w:rFonts w:ascii="Times New Roman" w:cs="Times New Roman" w:eastAsia="Times New Roman" w:hAnsi="Times New Roman"/>
          <w:sz w:val="18"/>
          <w:szCs w:val="18"/>
          <w:color w:val="auto"/>
        </w:rPr>
        <w:t>Each of the three leases described above provides for leasehold improvement incentives and annual rent increases through the term of the lease. Each of the three leases above also has an associated letter of credit, which is recorded as restricted cash within the Unaudited Condensed Consolidated Balance Sheet. At March 31, 2019 and December 31, 2018, restricted cash was $2,668 and $2,671, respectively, and primarily related to cash held at a financial institution in an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cash account as collateral for the three letters of credit related to the contractual provisions for the Company’s building lease security deposits. At March 31, 2019 and December 31, 2018, portions of restricted cash were classified as a short-term asset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asset. Additionally, 121 First St. has an associated security deposit, which was recorded in other assets, net within the Unaudited Condensed Consolidated Balance Sheet.</w:t>
      </w:r>
    </w:p>
    <w:p>
      <w:pPr>
        <w:spacing w:after="0" w:line="201"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On August 12, 2013, the Company entered into an operating lease in Dublin, Ireland at Styne House, Upper Hatch St. for the lease of 13,345 square feet of office space with a non-cancellable term through 2023. The lease provided for a rent increase at the end of year five.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financing lease obligations consists of a lease for office equipment and is immaterial.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Prior to adoption of ASC 842</w:t>
      </w:r>
    </w:p>
    <w:p>
      <w:pPr>
        <w:spacing w:after="0" w:line="117" w:lineRule="exact"/>
        <w:rPr>
          <w:sz w:val="20"/>
          <w:szCs w:val="20"/>
          <w:color w:val="auto"/>
        </w:rPr>
      </w:pPr>
    </w:p>
    <w:p>
      <w:pPr>
        <w:jc w:val="both"/>
        <w:ind w:firstLine="518"/>
        <w:spacing w:after="0" w:line="220" w:lineRule="exact"/>
        <w:rPr>
          <w:sz w:val="20"/>
          <w:szCs w:val="20"/>
          <w:color w:val="auto"/>
        </w:rPr>
      </w:pPr>
      <w:r>
        <w:rPr>
          <w:rFonts w:ascii="Times New Roman" w:cs="Times New Roman" w:eastAsia="Times New Roman" w:hAnsi="Times New Roman"/>
          <w:sz w:val="18"/>
          <w:szCs w:val="18"/>
          <w:color w:val="auto"/>
        </w:rPr>
        <w:t>The Company categorized leases at their inception as either operating or capital leases. On certain lease arrangements, the Company may have received rent holidays or other incentives. The Company recognized lease costs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once it achieved control of the space, without regard to deferred payment terms, such as rent holidays, that deferred the commencement date of required payments or escalating payment amounts. The Company recorded the difference between required lease payments and rent expense as deferred rent. Additionally, incentives received were treated as a reduction of costs over the term of the agreement, as they were considered an inseparable part of the lease agreement.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 adoption of ASC 842</w:t>
      </w:r>
    </w:p>
    <w:p>
      <w:pPr>
        <w:spacing w:after="0" w:line="11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Upon adoption, the Company elected the transition relief package, permitted within the standard, pursuant to which the Company did not reassess the classification of existing leases, whether any expired or existing contracts contain a lease, and whether existing leases have any initial direct costs. The Company also elected the practical expedient on not separating lease components from non-lease components for all leases.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reviews all material contacts for embedded leases to determine if they have a right-of-use asset.</w:t>
      </w:r>
    </w:p>
    <w:p>
      <w:pPr>
        <w:spacing w:after="0" w:line="225"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lease period. The depreciable life of assets and leasehold improvement are limited by the expected lease term, unless there is a transfer of title or purchase option reasonably certain of exercise.</w:t>
      </w:r>
    </w:p>
    <w:p>
      <w:pPr>
        <w:spacing w:after="0" w:line="16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Company also made an accounting policy election to not recognize a lease liability or right-of-use asset on its Unaudited Condensed Consolidated Balance Sheet for leases with an initial term of twelve months or less, and instead recognize lease payments on the Unaudited Condensed Consolidated Income Statement on a straight-line basis over the lease term and variable lease payments that do not depend on an index or rate as expense in the period in which the achievement of the specified target that triggers the variable lease payments becomes probable.</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Adoption of the new standard resulted in the recording of net lease assets and lease liabilities of approximately $52,334 and $63,280, respectively, as of January 1, 2019. The standard did not materially impact the Unaudited Condensed Consolidated Statement of Cash Flows and had no impact on the Unaudited Condensed Consolidated Income Statement.</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recognized $2,448 and $1,672, respectively, of rent expense. The Company allocates lease costs across all departments based on headcount in the respective location.</w:t>
      </w:r>
    </w:p>
    <w:p>
      <w:pPr>
        <w:spacing w:after="0" w:line="16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As of March 31, 2019, the weighted average remaining lease term was 9.9 years and the weighted average discount rate was 5.9%. As most of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uses the incremental borrowing rate on January 1, 2019 for leases that commenced prior to that date.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as of March 31, 2019 are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9"/>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(excluding the three months ended March 31, 2019)</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(23,277)</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Options to extend lease terms are not included in the chart above as they are not reasonably certain of being exercised.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7"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In June 2018, the FASB issued ASU No. 2018-07</w:t>
      </w:r>
      <w:r>
        <w:rPr>
          <w:rFonts w:ascii="Times New Roman" w:cs="Times New Roman" w:eastAsia="Times New Roman" w:hAnsi="Times New Roman"/>
          <w:sz w:val="18"/>
          <w:szCs w:val="18"/>
          <w:i w:val="1"/>
          <w:iCs w:val="1"/>
          <w:color w:val="auto"/>
        </w:rPr>
        <w:t>, Compensation—Stock Compensation (Topic 718)</w:t>
      </w:r>
      <w:r>
        <w:rPr>
          <w:rFonts w:ascii="Times New Roman" w:cs="Times New Roman" w:eastAsia="Times New Roman" w:hAnsi="Times New Roman"/>
          <w:sz w:val="18"/>
          <w:szCs w:val="18"/>
          <w:color w:val="auto"/>
        </w:rPr>
        <w:t xml:space="preserve"> (“ASU 2018-07”). ASU 2018-07 expands the scope of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to include share-based payment transactions for acquiring goods and services from non-employees. The amendments in this update state that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in this update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an entity’s adoption date of Topic 606. The Company has assessed the impact of this guidance on its Unaudited Condensed Consolidated Financial Statements and does not deem it to be material. The Company adopted the guidance on January 1, 2019.</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7"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Implementation Costs Incurred in a Cloud Computing Arrangement That Is a Service Contract. </w:t>
      </w:r>
      <w:r>
        <w:rPr>
          <w:rFonts w:ascii="Times New Roman" w:cs="Times New Roman" w:eastAsia="Times New Roman" w:hAnsi="Times New Roman"/>
          <w:sz w:val="18"/>
          <w:szCs w:val="18"/>
          <w:color w:val="auto"/>
        </w:rPr>
        <w:t>This update aligns the requirements for capitalizing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incurred in a hosting arrangement that is a service contract with the requirements for capitalizing implementation costs incurred to develop or obtain internal-use software. This new standard requires companies to expense the capitalized implementation costs over the term of the hosting arrangement. Amounts expensed would be presented through operating expense, rather than depreciation or amortization. Accounting for the service component of a hosting arrangement remains unchanged. The new standard is effective for fiscal years, and interim periods within those fiscal years, beginning after December 15, 2019. Early adoption is permitted and an entity can elect to apply the new guidance on a prospective or retrospective basis. The Company adopted this standard effective January 1, 2019 and applied the guidance using a prospective transition method for each period presented. In Q1 2019, the Company launched an initiative designed to evaluate and enhance its enterprise applications. As a result, $876 of implementation costs associated with service contracts have been classified in other long-term assets in the Unaudited Condensed Balance Sheet as of March 31, 2019. The implementation costs relate to assets that had not been placed in service as of March 31, 2019.</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The new guidance simplifies the accounting for goodwill impairment by eliminating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standard is effective beginning in January 2020, with early adoption permitted. The Company is currently assessing the impact that adopting this guidance will have on its Unaudited Condensed Consolidated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3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On January 8, 2019, the Company, through CarGurus UK Limited, a company incorporated in England &amp; Wales and a wholly owned subsidiary of CarGurus Ireland Limited (a company incorporated in Ireland and a wholly owned subsidiary of the Company) (the “Purchaser”), completed its acquisition of PistonHeads, a UK-based automotive website (“PistonHeads”), by acquiring the entire issued share capital of Haymarket New4 Ltd. (a company incorporated in England &amp; Wales and now known as PistonHeads Holdco Limited, “NewCo”) from Haymarket Media Group Ltd., a company incorporated in England &amp; Wales (the “Seller”), on the terms and subject to the conditions set forth in the Put and Call Option Agreement dated December 3, 2018, by and among the Purchaser, the Seller and Haymarket Group Limited, a company incorporated in England &amp; Wales. The PistonHeads website hosts used car classifieds, articles and forums. The Purchaser paid an aggregate of 15,000 GBP, or approximately $19,139, to acquire the business, inclusive of 1,000 GBP, or approximately $1,276, being held in escrow to secure post-closing claims, subject to the terms and conditions of an escrow agreement between the Purchaser and the Seller. Upon completion of the acquisition, NewCo became a wholly owned subsidiary of the Purchaser. The business combination is intended to expand the Company’s consumer audience in the UK. As of March 31, 2019, the Company has incurred total acquisition-related costs of $649 related to the transaction.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3" w:name="page14"/>
    <w:bookmarkEnd w:id="13"/>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under the acquisition method and, accordingly, the total purchase price is allocated to the intangible assets and goodwill. Acquired tangible assets and assumed liabilities are immaterial. The following table presents the preliminary purchase price allocation recorded in the Company's Unaudited Condensed Consolidated Balance Sheet as of the acquisition date:</w:t>
      </w:r>
    </w:p>
    <w:p>
      <w:pPr>
        <w:sectPr>
          <w:pgSz w:w="11900" w:h="16838" w:orient="portrait"/>
          <w:cols w:equalWidth="0" w:num="1">
            <w:col w:w="11440"/>
          </w:cols>
          <w:pgMar w:left="240" w:top="594" w:right="21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5"/>
          <w:szCs w:val="15"/>
          <w:color w:val="auto"/>
        </w:rPr>
        <w:t>(1)</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5"/>
          <w:szCs w:val="15"/>
          <w:color w:val="auto"/>
        </w:rPr>
        <w:t>(2)</w:t>
      </w:r>
    </w:p>
    <w:p>
      <w:pPr>
        <w:spacing w:after="0" w:line="16"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7"/>
          <w:szCs w:val="17"/>
          <w:color w:val="auto"/>
        </w:rPr>
        <w:t xml:space="preserve">Deferred tax liabilities </w:t>
      </w:r>
      <w:r>
        <w:rPr>
          <w:rFonts w:ascii="Times New Roman" w:cs="Times New Roman" w:eastAsia="Times New Roman" w:hAnsi="Times New Roman"/>
          <w:sz w:val="23"/>
          <w:szCs w:val="23"/>
          <w:color w:val="auto"/>
          <w:vertAlign w:val="superscript"/>
        </w:rPr>
        <w:t>(3)</w:t>
      </w:r>
    </w:p>
    <w:p>
      <w:pPr>
        <w:jc w:val="right"/>
        <w:ind w:right="330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Estimated Fair Value</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at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-3175</wp:posOffset>
            </wp:positionV>
            <wp:extent cx="50685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4,466</w:t>
      </w:r>
    </w:p>
    <w:p>
      <w:pPr>
        <w:spacing w:after="0" w:line="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15,521</w:t>
      </w:r>
    </w:p>
    <w:p>
      <w:pPr>
        <w:spacing w:after="0" w:line="23"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-130810</wp:posOffset>
            </wp:positionV>
            <wp:extent cx="506857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1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1311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13119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6840" w:space="720"/>
            <w:col w:w="3880"/>
          </w:cols>
          <w:pgMar w:left="240" w:top="594" w:right="219" w:bottom="1440" w:gutter="0" w:footer="0" w:header="0"/>
          <w:type w:val="continuous"/>
        </w:sectPr>
      </w:pPr>
    </w:p>
    <w:p>
      <w:pPr>
        <w:spacing w:after="0" w:line="46" w:lineRule="exact"/>
        <w:rPr>
          <w:sz w:val="20"/>
          <w:szCs w:val="20"/>
          <w:color w:val="auto"/>
        </w:rPr>
      </w:pPr>
    </w:p>
    <w:p>
      <w:pPr>
        <w:ind w:left="760" w:right="20" w:hanging="374"/>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were comprised of brand and customer relationships of $3,445 and $1,021, respectively, with estimated useful lives of 11 years and 3 years, respectively, which will be amortized on a straight-line basis over their estimated useful lives.</w:t>
      </w:r>
    </w:p>
    <w:p>
      <w:pPr>
        <w:spacing w:after="0" w:line="67" w:lineRule="exact"/>
        <w:rPr>
          <w:rFonts w:ascii="Times New Roman" w:cs="Times New Roman" w:eastAsia="Times New Roman" w:hAnsi="Times New Roman"/>
          <w:sz w:val="18"/>
          <w:szCs w:val="18"/>
          <w:color w:val="auto"/>
        </w:rPr>
      </w:pPr>
    </w:p>
    <w:p>
      <w:pPr>
        <w:jc w:val="both"/>
        <w:ind w:left="760" w:right="20" w:hanging="374"/>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represents the excess value of the purchase price over intangible assets acquired. The goodwill in this transaction is primarily attributable to future customer growth in the UK market as a result of acquiring an established platform and applying the Company’s technology to help improve the website experience on such platform; thus, helping to drive additional traffic to the PistonHeads website in the future. All goodwill is assigned to the International segment. The acquisition of PistonHeads was a stock acquisition and goodwill is not deductible for tax purposes.</w:t>
      </w:r>
    </w:p>
    <w:p>
      <w:pPr>
        <w:spacing w:after="0" w:line="89"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liability corresponds to the acquired intangible assets which do not have tax basis. As a result of the deferred tax liability, an adjustment was recorded to goodwill to account for the tax effect of the deferred tax liability.</w:t>
      </w:r>
    </w:p>
    <w:p>
      <w:pPr>
        <w:spacing w:after="0" w:line="18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Actual and pro forma results for these acquisitions have not been presented as the financial impact to the Company’s Unaudited Condensed Consolidated Financial Statements is not material.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 Including Cash, Cash Equivalents and Investments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for each of the fair value levels, the Company’s assets that are measured at fair value on a recurring basis at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and at December 31, 2018: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0" w:type="dxa"/>
            <w:vAlign w:val="bottom"/>
            <w:vMerge w:val="restart"/>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0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2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0" w:type="dxa"/>
            <w:vAlign w:val="bottom"/>
            <w:vMerge w:val="restart"/>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0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2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6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4" w:right="219" w:bottom="1440" w:gutter="0" w:footer="0" w:header="0"/>
          <w:type w:val="continuous"/>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Certificates of deposit at March 31, 2019 and December 31, 2018 had maturity dates of one year or less.</w:t>
      </w:r>
    </w:p>
    <w:p>
      <w:pPr>
        <w:spacing w:after="0" w:line="266"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measures eligible assets and liabilities at fair value with changes in value recognized in earnings. There were no liabilities that were measured at fair value for the three months ended March 31, 2019. Fair value treatment may be elected either upon initial recognition of an eligible asset or liability or, for an existing asset or liability, if an event triggers a new basis of accounting. The Company did not elect to remeasure any of its existing financial assets or liabilities, and did not elect the fair value option for any financial assets and liabilities transacted in the three months ended March 31, 2019 or the year ended December 31, 2018.</w:t>
      </w:r>
    </w:p>
    <w:p>
      <w:pPr>
        <w:spacing w:after="0" w:line="184"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80"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investments as of March 31, 2019 and 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right"/>
              <w:ind w:right="51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due in 90 days or less</w:t>
            </w:r>
          </w:p>
        </w:tc>
        <w:tc>
          <w:tcPr>
            <w:tcW w:w="4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 due in one year or less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right"/>
              <w:ind w:right="51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due in 90 days or less</w:t>
            </w:r>
          </w:p>
        </w:tc>
        <w:tc>
          <w:tcPr>
            <w:tcW w:w="4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 due in one year or less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286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16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tcBorders>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80" w:type="dxa"/>
            <w:vAlign w:val="bottom"/>
            <w:tcBorders>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80" w:type="dxa"/>
            <w:vAlign w:val="bottom"/>
            <w:tcBorders>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5" w:name="page16"/>
    <w:bookmarkEnd w:id="15"/>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which includes amortization expense associated with capitalized website was $1,472 and $5,029 for the three months ended March 31, 2019 and the year ended December 31, 2018, respectively. The increase of $8,821 in leasehold improvements and the decrease of $8,971 in construction in progress at March 31, 2019 is primarily due to costs incurred to build out the Company’s new leased facility. The facility became occupied subsequent to December 31, 2018 at which time the assets ceased to be classified as construction in progress and became classified as leasehold improvement.</w:t>
      </w:r>
    </w:p>
    <w:p>
      <w:pPr>
        <w:spacing w:after="0" w:line="369" w:lineRule="exact"/>
        <w:rPr>
          <w:sz w:val="20"/>
          <w:szCs w:val="20"/>
          <w:color w:val="auto"/>
        </w:rPr>
      </w:pPr>
    </w:p>
    <w:p>
      <w:pPr>
        <w:ind w:left="520" w:right="8460" w:hanging="512"/>
        <w:spacing w:after="0" w:line="393" w:lineRule="auto"/>
        <w:tabs>
          <w:tab w:leader="none" w:pos="18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value of goodwill were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48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PistonHeads acquisition</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did not have a goodwill balance prior to the closing of the PistonHeads acquisition on January 8, 2019. The Company tests goodwill for impairment at least annually or whenever events or changes in circumstances indicate that the carrying value may not be recoverable.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as of March 31, 2019 consist of the following:</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did not have intangible assets prior to the closing of the PistonHeads acquisition on January 8, 2019. The Company recorded amortization expense related to intangible assets of $155 for the three months ended March 31, 2019.</w:t>
      </w:r>
    </w:p>
    <w:p>
      <w:pPr>
        <w:spacing w:after="0" w:line="20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estimated useful life of brand and customer relationships is 11 years and 3 years, respectively. The Company evaluates the useful lives of these assets on an annual basis and tests for impairment whenever events or changes in circumstances occur that could impact the recoverability of these assets.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amortization expense of intangible assets for future periods as of March 31, 2019,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3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3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7. Accrued expenses, accrued income taxes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accrued income taxes and other current liabilities consist of the following:</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w:t>
            </w:r>
          </w:p>
        </w:tc>
      </w:tr>
      <w:tr>
        <w:trPr>
          <w:trHeight w:val="149"/>
        </w:trPr>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76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6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60" w:type="dxa"/>
            <w:vAlign w:val="bottom"/>
          </w:tcPr>
          <w:p>
            <w:pPr>
              <w:spacing w:after="0"/>
              <w:rPr>
                <w:sz w:val="19"/>
                <w:szCs w:val="19"/>
                <w:color w:val="auto"/>
              </w:rPr>
            </w:pP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 accrued income taxes and other</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60" w:type="dxa"/>
            <w:vAlign w:val="bottom"/>
            <w:shd w:val="clear" w:color="auto" w:fill="CFF0FC"/>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there were no material changes in the Company’s contractual obligations and commitments from those disclosed in the 2018 Annual Report, other than those discussed in Note 2 as a result of the adoption of ASC 842. The Company’s financing lease obligation consists of a lease for office equipment and is immaterial. All of the Company’s property, equipment, and software have been purchased with cash with the exception of $2,112 of unpaid property and equipment costs and $101 related to finance lease obligations as of March 31, 2019. The Company has no material long-term purchase obligations outstanding with any vendors or third parties.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Indemnification Obligations</w:t>
      </w:r>
    </w:p>
    <w:p>
      <w:pPr>
        <w:spacing w:after="0" w:line="119" w:lineRule="exact"/>
        <w:rPr>
          <w:sz w:val="20"/>
          <w:szCs w:val="20"/>
          <w:color w:val="auto"/>
        </w:rPr>
      </w:pPr>
    </w:p>
    <w:p>
      <w:pPr>
        <w:jc w:val="both"/>
        <w:ind w:right="20" w:firstLine="518"/>
        <w:spacing w:after="0" w:line="27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with its customers that include commercial provisions with respect to licensing, infringement, indemnification, and other common provisions. The Company does not, in the ordinary course, agree to indemnification obligations for the Company under its contracts with customers. Based on historical experience and information known at March 31, 2019 and December 31, 2018, the Company has not incurred any costs for guarantees or indemnities.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2018, total stock-based compensation expense was $7,686 and $3,818, respectively. The following two tables show stock compensation expense by award type and where the stock compensation expense is recorded in the Company’s Unaudited Condensed Consolidated Income Statements:</w:t>
      </w:r>
    </w:p>
    <w:p>
      <w:pPr>
        <w:spacing w:after="0" w:line="18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1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RSUs</w:t>
            </w:r>
          </w:p>
        </w:tc>
        <w:tc>
          <w:tcPr>
            <w:tcW w:w="19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7,635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9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7,686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0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7" w:name="page18"/>
    <w:bookmarkEnd w:id="17"/>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20" w:type="dxa"/>
        <w:tblCellMar>
          <w:top w:w="0" w:type="dxa"/>
          <w:left w:w="0" w:type="dxa"/>
          <w:bottom w:w="0" w:type="dxa"/>
          <w:right w:w="0" w:type="dxa"/>
        </w:tblCellMar>
      </w:tblPr>
      <w:tr>
        <w:trPr>
          <w:trHeight w:val="155"/>
        </w:trPr>
        <w:tc>
          <w:tcPr>
            <w:tcW w:w="442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2,312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 expense</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3,183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60" w:type="dxa"/>
            <w:vAlign w:val="bottom"/>
            <w:shd w:val="clear" w:color="auto" w:fill="CFF0FC"/>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2,110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7,686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Excluded from stock-based compensation expense is $309 and $149 of capitalized website development costs in the three months ended March 31, 2019 and 2018, respectively.</w:t>
      </w:r>
    </w:p>
    <w:p>
      <w:pPr>
        <w:spacing w:after="0" w:line="202" w:lineRule="exact"/>
        <w:rPr>
          <w:sz w:val="20"/>
          <w:szCs w:val="20"/>
          <w:color w:val="auto"/>
        </w:rPr>
      </w:pPr>
    </w:p>
    <w:p>
      <w:pPr>
        <w:jc w:val="both"/>
        <w:ind w:firstLine="51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three months ended March 31, 2019, the Company withheld 102,034 shares of Class A common stock to satisfy employee tax withholding requirements due to net share settlement. The shares withheld remain in the authorized, but unissued pool under the Company’s Omnibus Equity Compensation Plan and can be reissued by the Company. Total payments of $3,954 for the employees’ tax obligations to the taxing authorities due to net share settlements are reflected as a financing activity within the </w:t>
      </w:r>
      <w:hyperlink w:anchor="page8">
        <w:r>
          <w:rPr>
            <w:rFonts w:ascii="Times New Roman" w:cs="Times New Roman" w:eastAsia="Times New Roman" w:hAnsi="Times New Roman"/>
            <w:sz w:val="18"/>
            <w:szCs w:val="18"/>
            <w:u w:val="single" w:color="auto"/>
            <w:color w:val="0000EE"/>
          </w:rPr>
          <w:t>Unaudited Condensed Consolidated Statements of Cash Flows</w:t>
        </w:r>
      </w:hyperlink>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Net income per share for the three months ended March 31, 2019 and 2018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73" w:lineRule="exact"/>
        <w:rPr>
          <w:sz w:val="20"/>
          <w:szCs w:val="20"/>
          <w:color w:val="auto"/>
        </w:rPr>
      </w:pPr>
    </w:p>
    <w:p>
      <w:pPr>
        <w:jc w:val="both"/>
        <w:ind w:firstLine="518"/>
        <w:spacing w:after="0" w:line="219" w:lineRule="exact"/>
        <w:rPr>
          <w:sz w:val="20"/>
          <w:szCs w:val="20"/>
          <w:color w:val="auto"/>
        </w:rPr>
      </w:pPr>
      <w:r>
        <w:rPr>
          <w:rFonts w:ascii="Times New Roman" w:cs="Times New Roman" w:eastAsia="Times New Roman" w:hAnsi="Times New Roman"/>
          <w:sz w:val="18"/>
          <w:szCs w:val="18"/>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basis when computing net income per share. As a result, basic and diluted net income per share of Class A common stock and per share of Class B common stock are equivalent.</w:t>
      </w:r>
    </w:p>
    <w:p>
      <w:pPr>
        <w:spacing w:after="0" w:line="20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no holders of Class B common stock converted shares of Class B common stock to Class A common stock. During the three months ended March 31, 2018, holders of Class B common stock converted 7,534,710 shares of Class B common stock to Class A common stock.</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Diluted net income per share gives effect to all potentially dilutive securities. Potential dilutive securities for the three months ended March 31, 2019 and 2018 consist of shares of common stock issuable upon the exercise of stock options and shares of common stock issuable upon the vesting of restricted stock units (“RSUs”). The dilutive effect of these common stock equivalents is reflected in diluted earnings per share by application of the treasury stock method.</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2018, diluted net income per share was calculated by dividing net income by the weighted-average number of shares of common stock outstanding during the period plus the dilutive impact of stock options and shares of common stock issuable upon the vesting of RSUs.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in the calculation of basic and diluted net income per share:</w:t>
      </w:r>
    </w:p>
    <w:p>
      <w:pPr>
        <w:spacing w:after="0" w:line="232"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9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used in computing net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per share attributable to common stockholders — basic</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110,800,037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106,942,799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Dilutive effect of share equivalents resulting from stock options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1,450,076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Dilutive effect of share equivalents resulting from unvested restricted stock</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units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1,156,207</w:t>
            </w:r>
          </w:p>
        </w:tc>
        <w:tc>
          <w:tcPr>
            <w:tcW w:w="3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1,626,355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90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Weighted-average number of shares of common stock used in computing</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113,406,320</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113,341,308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There were no anti-dilutive securities for the three months ended March 31, 2018. The following potentially dilutive common stock equivalents have been excluded from the calculation of diluted weighted-average shares outstanding for the three months ended March 31, 2019, as their effect would have been anti-dilutive for the period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380" w:type="dxa"/>
            <w:vAlign w:val="bottom"/>
          </w:tcPr>
          <w:p>
            <w:pPr>
              <w:spacing w:after="0"/>
              <w:rPr>
                <w:sz w:val="15"/>
                <w:szCs w:val="15"/>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56"/>
        </w:trPr>
        <w:tc>
          <w:tcPr>
            <w:tcW w:w="9380" w:type="dxa"/>
            <w:vAlign w:val="bottom"/>
            <w:tcBorders>
              <w:bottom w:val="single" w:sz="8" w:color="CFF0FC"/>
            </w:tcBorders>
          </w:tcPr>
          <w:p>
            <w:pPr>
              <w:spacing w:after="0"/>
              <w:rPr>
                <w:sz w:val="13"/>
                <w:szCs w:val="13"/>
                <w:color w:val="auto"/>
              </w:rPr>
            </w:pPr>
          </w:p>
        </w:tc>
        <w:tc>
          <w:tcPr>
            <w:tcW w:w="192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858,417</w:t>
            </w:r>
          </w:p>
        </w:tc>
        <w:tc>
          <w:tcPr>
            <w:tcW w:w="120" w:type="dxa"/>
            <w:vAlign w:val="bottom"/>
            <w:shd w:val="clear" w:color="auto" w:fill="CFF0FC"/>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3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the Company recorded an income tax benefit of $3,503, representing an effective tax rate of (38.6)%. The effective tax rate for the three months ended March 31, 2019 was lower than the statutory tax rate of 21% principally due to excess stock deductions from the taxable compensation of share-based awards and federal and state research and development tax credits, partially offset by state and local income taxes.</w:t>
      </w:r>
    </w:p>
    <w:p>
      <w:pPr>
        <w:spacing w:after="0" w:line="203"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2018, the Company recorded income tax expense of $1,246, representing an effective tax rate of 18.5%. The effective tax rate for the three months ended March 31, 2018 was lower than the statutory tax rate of 21% principally due to federal and state research and development tax credits and excess stock deductions from the taxable compensation of share-based awards, partially offset by state and local income taxes.</w:t>
      </w:r>
    </w:p>
    <w:p>
      <w:pPr>
        <w:spacing w:after="0" w:line="217"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In 2018, the Internal Revenue Service commenced a federal income tax audit with respect to the Company’s 2016 tax year. In 2019, the Internal Revenue Service commenced a federal employment tax audit with respect to the 2016 calendar year.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Geographic Information</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80"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Information regarding the Company’s operations by segment and geographical area is presented as follows: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49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revenue:</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128,403</w:t>
            </w:r>
          </w:p>
        </w:tc>
        <w:tc>
          <w:tcPr>
            <w:tcW w:w="260" w:type="dxa"/>
            <w:vAlign w:val="bottom"/>
          </w:tcPr>
          <w:p>
            <w:pPr>
              <w:spacing w:after="0"/>
              <w:rPr>
                <w:sz w:val="19"/>
                <w:szCs w:val="19"/>
                <w:color w:val="auto"/>
              </w:rPr>
            </w:pP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95,060</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08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49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income (loss) from operations:</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260" w:type="dxa"/>
            <w:vAlign w:val="bottom"/>
          </w:tcPr>
          <w:p>
            <w:pPr>
              <w:spacing w:after="0"/>
              <w:rPr>
                <w:sz w:val="19"/>
                <w:szCs w:val="19"/>
                <w:color w:val="auto"/>
              </w:rPr>
            </w:pP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(9,946)</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23"/>
        </w:trPr>
        <w:tc>
          <w:tcPr>
            <w:tcW w:w="4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0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100" w:right="1700" w:hanging="5097"/>
        <w:spacing w:after="0" w:line="532" w:lineRule="auto"/>
        <w:rPr>
          <w:sz w:val="20"/>
          <w:szCs w:val="20"/>
          <w:color w:val="auto"/>
        </w:rPr>
      </w:pPr>
      <w:r>
        <w:rPr>
          <w:rFonts w:ascii="Times New Roman" w:cs="Times New Roman" w:eastAsia="Times New Roman" w:hAnsi="Times New Roman"/>
          <w:sz w:val="18"/>
          <w:szCs w:val="18"/>
          <w:color w:val="auto"/>
        </w:rPr>
        <w:t>As of March 31, 2019 and December 31, 2018, property and equipment held outside the United States was not material.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-102870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40"/>
          </w:cols>
          <w:pgMar w:left="760" w:top="553" w:right="7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2018, filed with the Securities and Exchange Commission, or SEC, on February 28, 2019, or our 2018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518"/>
        <w:spacing w:after="0" w:line="220" w:lineRule="exact"/>
        <w:rPr>
          <w:sz w:val="20"/>
          <w:szCs w:val="20"/>
          <w:color w:val="auto"/>
        </w:rPr>
      </w:pPr>
      <w:r>
        <w:rPr>
          <w:rFonts w:ascii="Times New Roman" w:cs="Times New Roman" w:eastAsia="Times New Roman" w:hAnsi="Times New Roman"/>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pricing and dealer reputation as well as other information that aids them in finding “Great Deals from Top-Rated Dealers.” In addition to the United States, we operate online marketplaces in Canada, the United Kingdom, Germany, Italy, and Spain.</w:t>
      </w:r>
    </w:p>
    <w:p>
      <w:pPr>
        <w:spacing w:after="0" w:line="20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generate marketplace subscription revenue from dealers through Listing and Dealer Display subscriptions, and advertising revenue from automobile manufacturers and other auto-related brand advertisers. We generated revenue of $135.3 million in the three months ended March 31, 2019, a 37% increase from $98.6 million of revenue in the three months ended March 31, 2018.</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we generated net income of $12.6 million and our Adjusted EBITDA was $16.7 million, compared to net income of $5.5 million and Adjusted EBITDA of $11.5 million for the three months ended March 31, 2018. See “Adjusted EBITDA” below for more information regarding our use of Adjusted EBITDA, a non-GAAP financial measure, and a reconciliation of Adjusted EBITDA to net income.</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We have two reportable segments, United States and International, as further discussed in Note 12 of our Unaudited Condensed Consolidated Financial Statements included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the market, our rate of investment, market size, market maturity, and other dynamics unique to each country.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3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Unique Users</w:t>
            </w:r>
          </w:p>
        </w:tc>
        <w:tc>
          <w:tcPr>
            <w:tcW w:w="172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20" w:type="dxa"/>
            <w:vAlign w:val="bottom"/>
            <w:gridSpan w:val="2"/>
            <w:vMerge w:val="continue"/>
          </w:tcPr>
          <w:p>
            <w:pPr>
              <w:spacing w:after="0"/>
              <w:rPr>
                <w:sz w:val="13"/>
                <w:szCs w:val="13"/>
                <w:color w:val="auto"/>
              </w:rPr>
            </w:pPr>
          </w:p>
        </w:tc>
        <w:tc>
          <w:tcPr>
            <w:tcW w:w="1080" w:type="dxa"/>
            <w:vAlign w:val="bottom"/>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top w:val="single" w:sz="8" w:color="auto"/>
            </w:tcBorders>
            <w:gridSpan w:val="3"/>
          </w:tcPr>
          <w:p>
            <w:pPr>
              <w:jc w:val="cente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6"/>
              </w:rPr>
              <w:t>38,046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11,519 </w:t>
            </w:r>
            <w:r>
              <w:rPr>
                <w:rFonts w:ascii="Times New Roman" w:cs="Times New Roman" w:eastAsia="Times New Roman" w:hAnsi="Times New Roman"/>
                <w:sz w:val="15"/>
                <w:szCs w:val="15"/>
                <w:color w:val="auto"/>
              </w:rPr>
              <w:t>(1)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6"/>
              </w:rPr>
              <w:t>49,565</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1" w:lineRule="exact"/>
        <w:rPr>
          <w:sz w:val="20"/>
          <w:szCs w:val="20"/>
          <w:color w:val="auto"/>
        </w:rPr>
      </w:pPr>
    </w:p>
    <w:p>
      <w:pPr>
        <w:jc w:val="both"/>
        <w:ind w:left="1140" w:hanging="376"/>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users from the PistonHeads website from January 8, 2019 (the date of the closing of our acquisition of PistonHeads) to March 31, 2019. Refer to Note 3 to our Unaudited Condensed Consolidated Financial Statements appearing elsewhere in this Quarterly Report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Sessions</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(ii) Greenwich Mean Time for our UK websites and (iii) Central European Time (or Central European Summer Time when daylight savings is observed) for our Germany, Italy and Spain websites, as applicable.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Sessions</w:t>
            </w:r>
          </w:p>
        </w:tc>
        <w:tc>
          <w:tcPr>
            <w:tcW w:w="172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20" w:type="dxa"/>
            <w:vAlign w:val="bottom"/>
            <w:gridSpan w:val="2"/>
            <w:vMerge w:val="continue"/>
          </w:tcPr>
          <w:p>
            <w:pPr>
              <w:spacing w:after="0"/>
              <w:rPr>
                <w:sz w:val="13"/>
                <w:szCs w:val="13"/>
                <w:color w:val="auto"/>
              </w:rPr>
            </w:pPr>
          </w:p>
        </w:tc>
        <w:tc>
          <w:tcPr>
            <w:tcW w:w="1080" w:type="dxa"/>
            <w:vAlign w:val="bottom"/>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top w:val="single" w:sz="8" w:color="auto"/>
            </w:tcBorders>
            <w:gridSpan w:val="3"/>
          </w:tcPr>
          <w:p>
            <w:pPr>
              <w:jc w:val="cente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101,566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25,751 </w:t>
            </w:r>
            <w:r>
              <w:rPr>
                <w:rFonts w:ascii="Times New Roman" w:cs="Times New Roman" w:eastAsia="Times New Roman" w:hAnsi="Times New Roman"/>
                <w:sz w:val="15"/>
                <w:szCs w:val="15"/>
                <w:color w:val="auto"/>
              </w:rPr>
              <w:t>(1)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127,317</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1" w:lineRule="exact"/>
        <w:rPr>
          <w:sz w:val="20"/>
          <w:szCs w:val="20"/>
          <w:color w:val="auto"/>
        </w:rPr>
      </w:pPr>
    </w:p>
    <w:p>
      <w:pPr>
        <w:jc w:val="both"/>
        <w:ind w:left="1140" w:hanging="376"/>
        <w:spacing w:after="0" w:line="26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sessions from the PistonHeads website from January 8, 2019 (the date of the closing of our acquisition of PistonHeads) to March 31, 2019. Refer to Note 3 to our Unaudited Condensed Consolidated Financial Statements appearing elsewhere in this Quarterly Report for further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Paying Dealers</w:t>
      </w:r>
    </w:p>
    <w:p>
      <w:pPr>
        <w:spacing w:after="0" w:line="121"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A paying dealer is a dealer, based on a distinct associated inventory feed, that subscribes to one of our paid listing or display products at the end of a defined period. We believe that the number of paying dealers is indicative of the value proposition of our marketplace products, and our sales and marketing success, including our ability to retain paying dealers and develop new dealer relationships.</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Paying Dealers</w:t>
            </w:r>
          </w:p>
        </w:tc>
        <w:tc>
          <w:tcPr>
            <w:tcW w:w="1720" w:type="dxa"/>
            <w:vAlign w:val="bottom"/>
            <w:tcBorders>
              <w:bottom w:val="single" w:sz="8" w:color="auto"/>
            </w:tcBorders>
            <w:gridSpan w:val="3"/>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20" w:type="dxa"/>
            <w:vAlign w:val="bottom"/>
            <w:gridSpan w:val="3"/>
            <w:vMerge w:val="continue"/>
          </w:tcPr>
          <w:p>
            <w:pPr>
              <w:spacing w:after="0"/>
              <w:rPr>
                <w:sz w:val="13"/>
                <w:szCs w:val="13"/>
                <w:color w:val="auto"/>
              </w:rPr>
            </w:pPr>
          </w:p>
        </w:tc>
        <w:tc>
          <w:tcPr>
            <w:tcW w:w="1080" w:type="dxa"/>
            <w:vAlign w:val="bottom"/>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1" w:lineRule="exact"/>
        <w:rPr>
          <w:sz w:val="20"/>
          <w:szCs w:val="20"/>
          <w:color w:val="auto"/>
        </w:rPr>
      </w:pPr>
    </w:p>
    <w:p>
      <w:pPr>
        <w:jc w:val="both"/>
        <w:ind w:left="1140" w:hanging="376"/>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paying dealers from the PistonHeads website from January 8, 2019 (the date of the closing of our acquisition of PistonHeads) to March 31, 2019. Refer to Note 3 to our Unaudited Condensed Consolidated Financial Statements appearing elsewhere in this Quarterly Report for further information.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Annual Revenue per Subscribing Dealer (AARSD)</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We believe that our ability to grow AARSD is an indicator of the value proposition of our products and the return on investment, or ROI, our paying dealers realize from our products.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26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Annual Revenue per Subscribing Dealer (AARSD)</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1" w:lineRule="exact"/>
        <w:rPr>
          <w:sz w:val="20"/>
          <w:szCs w:val="20"/>
          <w:color w:val="auto"/>
        </w:rPr>
      </w:pPr>
    </w:p>
    <w:p>
      <w:pPr>
        <w:jc w:val="both"/>
        <w:ind w:left="1140" w:hanging="376"/>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AARSD from the PistonHeads website as it was acquired on January 8, 2019, and therefore, data for the trailing 12-month revenue calculation is not available. Refer to Note 3 to our Unaudited Condensed Consolidated Financial Statements appearing elsewhere in this Quarterly Report for further information.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firstLine="518"/>
        <w:spacing w:after="0" w:line="222" w:lineRule="exact"/>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This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is not based on any standardized methodology prescribed by GAAP and is not necessarily comparable to similarly titled measures presented by other companies.</w:t>
      </w:r>
    </w:p>
    <w:p>
      <w:pPr>
        <w:spacing w:after="0" w:line="171" w:lineRule="exact"/>
        <w:rPr>
          <w:sz w:val="20"/>
          <w:szCs w:val="20"/>
          <w:color w:val="auto"/>
        </w:rPr>
      </w:pPr>
    </w:p>
    <w:p>
      <w:pPr>
        <w:jc w:val="both"/>
        <w:ind w:firstLine="518"/>
        <w:spacing w:after="0" w:line="230" w:lineRule="exact"/>
        <w:rPr>
          <w:sz w:val="20"/>
          <w:szCs w:val="20"/>
          <w:color w:val="auto"/>
        </w:rPr>
      </w:pPr>
      <w:r>
        <w:rPr>
          <w:rFonts w:ascii="Times New Roman" w:cs="Times New Roman" w:eastAsia="Times New Roman" w:hAnsi="Times New Roman"/>
          <w:sz w:val="18"/>
          <w:szCs w:val="18"/>
          <w:color w:val="auto"/>
        </w:rPr>
        <w:t>We define Adjusted EBITDA as net income, adjusted to exclude: depreciation and amortization,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other income, net, the (benefit from) provision for income taxes, and certain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items, if and when applicable. We have presented Adjusted EBITDA 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our business.</w:t>
      </w:r>
    </w:p>
    <w:p>
      <w:pPr>
        <w:spacing w:after="0" w:line="178" w:lineRule="exact"/>
        <w:rPr>
          <w:sz w:val="20"/>
          <w:szCs w:val="20"/>
          <w:color w:val="auto"/>
        </w:rPr>
      </w:pPr>
    </w:p>
    <w:p>
      <w:pPr>
        <w:jc w:val="both"/>
        <w:ind w:firstLine="518"/>
        <w:spacing w:after="0" w:line="220" w:lineRule="exact"/>
        <w:rPr>
          <w:sz w:val="20"/>
          <w:szCs w:val="20"/>
          <w:color w:val="auto"/>
        </w:rPr>
      </w:pPr>
      <w:r>
        <w:rPr>
          <w:rFonts w:ascii="Times New Roman" w:cs="Times New Roman" w:eastAsia="Times New Roman" w:hAnsi="Times New Roman"/>
          <w:sz w:val="18"/>
          <w:szCs w:val="18"/>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In addition, we evaluate our Adjusted EBITDA in relation to our revenue. We refer to this as Adjusted EBITDA margin and define it as Adjusted EBITDA divided by total revenue.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3" w:name="page24"/>
    <w:bookmarkEnd w:id="23"/>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39" w:lineRule="exact"/>
        <w:rPr>
          <w:sz w:val="20"/>
          <w:szCs w:val="20"/>
          <w:color w:val="auto"/>
        </w:rPr>
      </w:pPr>
    </w:p>
    <w:p>
      <w:pPr>
        <w:ind w:left="900" w:hanging="379"/>
        <w:spacing w:after="0" w:line="239" w:lineRule="exact"/>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which will be, for the foreseeable future, a significant recurring expense for our business and an important part of our compensation strategy;</w:t>
      </w:r>
    </w:p>
    <w:p>
      <w:pPr>
        <w:spacing w:after="0" w:line="62" w:lineRule="exact"/>
        <w:rPr>
          <w:rFonts w:ascii="Times New Roman" w:cs="Times New Roman" w:eastAsia="Times New Roman" w:hAnsi="Times New Roman"/>
          <w:sz w:val="18"/>
          <w:szCs w:val="18"/>
          <w:color w:val="auto"/>
        </w:rPr>
      </w:pPr>
    </w:p>
    <w:p>
      <w:pPr>
        <w:ind w:left="900" w:hanging="379"/>
        <w:spacing w:after="0" w:line="239" w:lineRule="exact"/>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expenses, the assets being depreciated may have to be replaced in the future;</w:t>
      </w:r>
    </w:p>
    <w:p>
      <w:pPr>
        <w:spacing w:after="0" w:line="9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other income, net, which primarily includes interest income;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(benefit from) provision for income taxes; and</w:t>
      </w:r>
    </w:p>
    <w:p>
      <w:pPr>
        <w:spacing w:after="0" w:line="117"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together with other operating and financial performance measures presented in accordance with GAAP.</w:t>
      </w:r>
    </w:p>
    <w:p>
      <w:pPr>
        <w:spacing w:after="0" w:line="162"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the most directly comparable measure calculated in accordance with GAAP, for the periods presented.</w:t>
      </w:r>
    </w:p>
    <w:p>
      <w:pPr>
        <w:spacing w:after="0" w:line="16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20" w:type="dxa"/>
        <w:tblCellMar>
          <w:top w:w="0" w:type="dxa"/>
          <w:left w:w="0" w:type="dxa"/>
          <w:bottom w:w="0" w:type="dxa"/>
          <w:right w:w="0" w:type="dxa"/>
        </w:tblCellMar>
      </w:tblPr>
      <w:tr>
        <w:trPr>
          <w:trHeight w:val="155"/>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tc>
        <w:tc>
          <w:tcPr>
            <w:tcW w:w="1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(1,646)</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(3,503)</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Unaudited Condensed Consolidated Income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 is derived from two primary sources: (i) marketplace subscription revenue and (ii) advertising and other revenue, as described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Subscription Revenue</w:t>
      </w:r>
    </w:p>
    <w:p>
      <w:pPr>
        <w:spacing w:after="0" w:line="11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offer three types of marketplace Listing products to our dealers through the CarGurus websites: Basic Listing, which is free; and Enhanced or Featured Listing, which each require a paid subscription under a monthly, quarterly, semiannual, or annual subscription basis. Contractual subscriptions for customers generally auto-renew on a monthly basis and are cancellable by dealers with 30-days’ advance notice. We also offer Listing dealers on the CarGurus websites with access to our Dealer Dashboard, which includes a performance summary, Dealer Insights tool, user review management platform, Pricing Tool, and Market Analysis tool. The Pricing Tool and Market Analysis tool are available only to paying dealers.</w:t>
      </w:r>
    </w:p>
    <w:p>
      <w:pPr>
        <w:spacing w:after="0" w:line="18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addition to listing inventory in the marketplace and providing access to the Dealer Dashboard, we offer Enhanced and Featured Listing dealers other subscription advertising and customer acquisition products, including display advertising that appears in our marketplace and on other sites on the internet. This advertising can be targeted by geography, search history, and a number of other factors, and dealer search engine marketing, which helps dealers more effectively acquire customers through paid search, social media, and retargeted advertising.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offer paid listing and display products through the PistonHeads website.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1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Cost of revenue primarily consists of costs related to supporting and hosting our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for our sales and marketing staff,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Technology, and Development</w:t>
      </w:r>
    </w:p>
    <w:p>
      <w:pPr>
        <w:spacing w:after="0" w:line="11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Product, technology, and development expenses, which include research and development costs, consist primarily of personnel costs of our development team, including payroll, benefits, stock-based compensation expense and allocated overhead costs. Other than website development costs and other costs that qualify for capitalization, research and development costs are expensed as incurred. We expect product, technology, and development expenses to increase as we develop new solutions and make improvements to our existing platform.</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and related expenses for executive, finance, legal, human resources, and administrative personnel, including salaries, benefits, incentive compensation, and stock-based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continue to incur the costs of compliance associated with being a publicly traded company, including legal, audit, and consulting fees.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depreciation on property and equipment, which includes leasehold improvements, and amortization of capitalized website development costs and intangible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earned on our cash, cash equivalents, and investments, interest expense on lease obligations, and net foreign exchange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have recognized a benefit from income taxes for the three months ended March 31, 2019 compared to a tax provision for the three months ended March 31, 2018.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ind w:right="20"/>
        <w:spacing w:after="0" w:line="282" w:lineRule="auto"/>
        <w:rPr>
          <w:sz w:val="20"/>
          <w:szCs w:val="20"/>
          <w:color w:val="auto"/>
        </w:rPr>
      </w:pPr>
      <w:r>
        <w:rPr>
          <w:rFonts w:ascii="Times New Roman" w:cs="Times New Roman" w:eastAsia="Times New Roman" w:hAnsi="Times New Roman"/>
          <w:sz w:val="18"/>
          <w:szCs w:val="18"/>
          <w:color w:val="auto"/>
        </w:rPr>
        <w:t>deferred tax assets will not be realized. We have not provided a valuation allowance against our net deferred tax assets at March 31, 2019 or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69"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5"/>
          </w:tcPr>
          <w:p>
            <w:pPr>
              <w:jc w:val="center"/>
              <w:ind w:left="454"/>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Marketplace subscription</w:t>
            </w:r>
          </w:p>
        </w:tc>
        <w:tc>
          <w:tcPr>
            <w:tcW w:w="3340" w:type="dxa"/>
            <w:vAlign w:val="bottom"/>
            <w:gridSpan w:val="3"/>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Advertising and other</w:t>
            </w:r>
          </w:p>
        </w:tc>
        <w:tc>
          <w:tcPr>
            <w:tcW w:w="30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revenue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Gross profit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3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(3,503)</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 income</w:t>
            </w:r>
          </w:p>
        </w:tc>
        <w:tc>
          <w:tcPr>
            <w:tcW w:w="300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5"/>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5"/>
          </w:tcPr>
          <w:p>
            <w:pPr>
              <w:jc w:val="center"/>
              <w:ind w:left="474"/>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Financial Data:</w:t>
            </w:r>
          </w:p>
        </w:tc>
        <w:tc>
          <w:tcPr>
            <w:tcW w:w="3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gridSpan w:val="3"/>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128,403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Borders>
              <w:bottom w:val="single" w:sz="8" w:color="CFF0FC"/>
            </w:tcBorders>
            <w:gridSpan w:val="2"/>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gridSpan w:val="3"/>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(9,946)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7"/>
          <w:szCs w:val="17"/>
          <w:color w:val="auto"/>
        </w:rPr>
        <w:t>The following table sets forth our selected consolidated statements of operations data as a percentage of revenue for each of the periods indicated.</w:t>
      </w:r>
    </w:p>
    <w:p>
      <w:pPr>
        <w:sectPr>
          <w:pgSz w:w="11900" w:h="16838" w:orient="portrait"/>
          <w:cols w:equalWidth="0" w:num="1">
            <w:col w:w="11440"/>
          </w:cols>
          <w:pgMar w:left="240" w:top="337" w:right="219" w:bottom="1440" w:gutter="0" w:footer="0" w:header="0"/>
        </w:sectPr>
      </w:pPr>
    </w:p>
    <w:p>
      <w:pPr>
        <w:spacing w:after="0" w:line="24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520" w:type="dxa"/>
            <w:vAlign w:val="bottom"/>
            <w:gridSpan w:val="2"/>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Marketplace subscription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Advertising and other</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520" w:type="dxa"/>
            <w:vAlign w:val="bottom"/>
            <w:gridSpan w:val="2"/>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Financial Data:</w:t>
            </w: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6940" w:type="dxa"/>
            <w:vAlign w:val="bottom"/>
            <w:tcBorders>
              <w:top w:val="single" w:sz="8" w:color="CFF0FC"/>
              <w:bottom w:val="single" w:sz="8" w:color="CFF0FC"/>
            </w:tcBorders>
            <w:vMerge w:val="restart"/>
          </w:tcPr>
          <w:p>
            <w:pPr>
              <w:ind w:left="504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vMerge w:val="continue"/>
          </w:tcPr>
          <w:p>
            <w:pPr>
              <w:spacing w:after="0"/>
              <w:rPr>
                <w:sz w:val="24"/>
                <w:szCs w:val="24"/>
                <w:color w:val="auto"/>
              </w:rPr>
            </w:pPr>
          </w:p>
        </w:tc>
        <w:tc>
          <w:tcPr>
            <w:tcW w:w="6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9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2019 and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Source</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7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120,843</w:t>
            </w:r>
          </w:p>
        </w:tc>
        <w:tc>
          <w:tcPr>
            <w:tcW w:w="220" w:type="dxa"/>
            <w:vAlign w:val="bottom"/>
          </w:tcPr>
          <w:p>
            <w:pPr>
              <w:spacing w:after="0"/>
              <w:rPr>
                <w:sz w:val="19"/>
                <w:szCs w:val="19"/>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89,159</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Marketplace subscription</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Overall revenue increased by $36.7 million, or 37%, in the three months ended March 31, 2019 compared to the three months ended March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 subscription revenue increased by 36%, while advertising and other revenue grew by 53%.</w:t>
      </w:r>
    </w:p>
    <w:p>
      <w:pPr>
        <w:spacing w:after="0" w:line="207"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Marketplace subscription revenue increased by $31.7 million in the three months ended March 31, 2019 compared to the three months ended March 31, 2018 and represented 89% of total revenue for the three months ended March 31, 2019 and 90% for the three months ended March 31, 2018. This increase in marketplace subscription revenue was attributable primarily to a 15% growth in the number of total paying dealers, to 33,235 as of March 31, 2019 from 29,026 as of March 31, 2018, and to a 24% growth in our AARSD for United States dealers to $15,440 as of March 31, 2019 from $12,470 as of March 31, 2018. The increase in paying dealers was driven by the efforts of our sales and marketing teams to subscribe dealers to our Enhanced and Featured Listing paid products. The increase in our AARSD for United States dealers was driven by the investments made in building our brand and growing our audience which resulted in growth in volume of connections.</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Advertising and other revenue increased by $5.0 million in the three months ended March 31, 2019 compared to the three months ended March 31, 2018 and represented 11% of total revenue for the three months ended March 31, 2019 and 10% for the three months ended March 31, 2018. The increase in advertising and other revenue was due primarily to a 39% increase in the number of impressions delivered and a 2% increase in the average price per thousand impressions, in the three months ended March 31, 2019 compared to the three months ended March 31, 2018.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128,403</w:t>
            </w:r>
          </w:p>
        </w:tc>
        <w:tc>
          <w:tcPr>
            <w:tcW w:w="240" w:type="dxa"/>
            <w:vAlign w:val="bottom"/>
          </w:tcPr>
          <w:p>
            <w:pPr>
              <w:spacing w:after="0"/>
              <w:rPr>
                <w:sz w:val="19"/>
                <w:szCs w:val="19"/>
                <w:color w:val="auto"/>
              </w:rPr>
            </w:pP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95,060</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4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United States revenue increased $33.3 million, or 35%, in the three months ended March 31, 2019 compared to the three months ended March 31, 2018, due primarily to a 7% increase in the number of United States paying dealers and a 24% increase in AARSD for United States dealers.</w:t>
      </w:r>
    </w:p>
    <w:p>
      <w:pPr>
        <w:spacing w:after="0" w:line="16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International revenue increased $3.4 million, or 95%, in the three months ended March 31, 2019 compared to the three months ended March 31, 2018, due primarily to a 87% increase in the number of International paying dealers and was partially offset by a 3% decrease in AARSD for International dealers.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5"/>
          </w:tcPr>
          <w:p>
            <w:pPr>
              <w:jc w:val="right"/>
              <w:ind w:right="98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7,720</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2,151</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Cost of revenue increased $2.2 million, or 39%, in the three months ended March 31, 2019 compared to the three months ended March 31, 2018. The increase was due primarily to a $0.7 million increase in costs related to connecting consumers with dealers through a variety of methods, including phone calls, email, and managed text and chat, a $0.7 million increase in data center and hosting costs, a $0.6 million increase in fees related to provisioning advertising campaigns on our websites, a $0.3 million increase in employee-related costs for our customer support team to support the growth in customers, and a $0.1 million increase in amortization and depreciation.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91,316</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68,845</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22,471</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518"/>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$22.5 million, or 33%, in the three months ended March 31, 2019 compared to the three months ended March 31, 2018. The increase was due primarily to an increase in advertising costs of $13.8 million as well as an increase of $3.2 million in salaries and employee-related costs, exclusive of commissions expense and stock-based compensation expense, which increased $1.9 million and $1.3 million, respectively, due to increases in sales and a 27% increase in headcount. The increase for the three months ended March 31, 2019 was also due in part to a $0.5 million increase in marketing events and market research due to efforts to increase brand awareness and a $0.3 million increase in rent due to a new office building in Cambridge and rent increase in Ireland.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Technology, and Development Expenses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15,972</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6,874</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Product, technology, and development expenses increased $6.9 million, or 76%, in the three months ended March 31, 2019 compared to the three months ended March 31, 2018. The increase was due primarily to a $4.4 million increase in salaries and employee-related costs, exclusive of stock-based compensation expense, which increased $1.5 million due to a 47% increase in headcount to support our growth and product innovations. The increase for the three months ended March 31, 2019 was also due in part to a $0.3 million increase in rent due to a new office building in Cambridge, and a $0.3 million increase in recruiting and consulting fees.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jc w:val="right"/>
              <w:ind w:right="10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11,760</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3,889</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9" w:name="page30"/>
    <w:bookmarkEnd w:id="29"/>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$3.9 million, or 49%, in the three months ended March 31, 2019 compared to the three months ended March 31, 2018. The increase was due primarily to a $1.5 million increase in salaries and employee-related costs, exclusive of stock-based compensation expense, which increased $1.1 million due to a 39% increase in headcount to support our expanded operations as we continue to grow our business. The increase for the three months ended March 31, 2019 was also due in part to a $0.4 million increase in legal and consulting fees, a $0.4 million increase in payment processing and billing costs due to increased customer transactions with higher billings resulting from revenue growth and a $0.2 million increase in software subscriptions.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5"/>
          </w:tcPr>
          <w:p>
            <w:pPr>
              <w:jc w:val="right"/>
              <w:ind w:right="98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1,067</w:t>
            </w: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334</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$0.3 million, or 46%, in the three months ended March 31, 2019 compared to three months ended March 31, 2018, due primarily to increased depreciation of additional leasehold improvements.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19"/>
                <w:szCs w:val="19"/>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3640" w:type="dxa"/>
            <w:vAlign w:val="bottom"/>
            <w:gridSpan w:val="2"/>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6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Other income, net increased $1.4 million, or 484%, in the three months ended March 31, 2019 compared to the three months ended March 31, 2018. The $0.5 million increase in interest income is primarily due to the investment of cash in certificates of deposit and money market funds arising from our increased cash from operations. The $0.9 million increase in other income (expense) is primarily due to a $0.7 million unrealized gain generated in connection with our acquisition of PistonHeads and $0.2 million of sublease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4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5"/>
          </w:tcPr>
          <w:p>
            <w:pPr>
              <w:jc w:val="right"/>
              <w:ind w:right="102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(3,503)</w:t>
            </w: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rPr>
              <w:t>(4,749)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209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benefit from income taxes recorded during the three months ended March 31, 2019, as compared to the provision for income taxes recorded during the three months ended March 31, 2018 was principally due to $5.2 million of tax benefit related to excess stock-based compensation deductions recorded during the three months ended March 31, 2019, as well as an increase in federal and state research and development tax credits as compared to the three months ended March 31, 2018.</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 by Segment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gridSpan w:val="7"/>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(2,472)</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segment revenue:</w:t>
            </w: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209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United States income from operations increased $3.4 million, or 25%, in the three months ended March 31, 2019 compared to the three months ended March 31, 2018. This increase was due to increases in revenue of $33.3 million, partially offset by increases in operating expenses of $28.1 million and cost of revenue of $1.8 million.</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International loss from operations increased $2.5 million, or 33%, in the three months ended March 31, 2019 compared to the three months ended March 31, 2018. The increase in International loss from operations reflects our continued investment into international markets and expansion into new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3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At March 31, 2019 and December 31, 2018, our principal sources of liquidity were cash and cash equivalents of $29.9 million and $34.9 million, respectively, and investments in certificates of deposit with terms of greater than 90 days but less than one year of $108.5 million and $122.8 million at March 31, 2019 and December 31, 2018, respectively.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Unaudited Condensed Consolidated Statements of Cash Flows, are summarized in the following table:</w:t>
      </w:r>
    </w:p>
    <w:p>
      <w:pPr>
        <w:spacing w:after="0" w:line="16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20" w:type="dxa"/>
        <w:tblCellMar>
          <w:top w:w="0" w:type="dxa"/>
          <w:left w:w="0" w:type="dxa"/>
          <w:bottom w:w="0" w:type="dxa"/>
          <w:right w:w="0" w:type="dxa"/>
        </w:tblCellMar>
      </w:tblPr>
      <w:tr>
        <w:trPr>
          <w:trHeight w:val="155"/>
        </w:trPr>
        <w:tc>
          <w:tcPr>
            <w:tcW w:w="54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(11,350)</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(31,015)</w:t>
            </w: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(1,062)</w:t>
            </w: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on cash</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from operating activities, sales of preferred stock and our initial public offering. We generated cash from operating activities of $9.7 million during the three months ended March 31, 2019, and $6.4 million during the three months ended March 31, 2018, and we expect to generate cash from operations for the foreseeable future.</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believe that our existing sources of liquidity will be sufficient to fund our operations for at least the next 12 months from the date of the filing of this Quarterly Report.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ended March 31, 2019 was $9.7 million, due primarily to net income of $12.6 million, adjusted for $7.7 million of stock-based compensation expense, $1.8 million of amortization of deferred contract costs and $1.6 million of depreciation and amortization, partially offset by $3.7 million of deferred taxes. Cash provided by operating activities was also attributable to a $3.2 million increase in accounts payable, partially offset by a $4.4 million decrease in deferred contract costs, a $4.0 million decrease in accrued expenses, accrued income taxes, and other current liabilities, a $1.7 decrease in prepaid expenses, prepaid income taxes, and other assets, a $1.5 million decrease in accounts receivable and a $1.4 million decrease in lease obligations.</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ended March 31, 2018 was $6.4 million, due primarily to net income of $5.5 million, adjusted for $3.8 million of stock-based compensation expense, and $1.2 million of depreciation and amortization, partially offset by $1.3 million of deferred taxes. Cash provided by operating activities was also attributable to a $2.8 million increase in deferred revenue, partially offset by a $3.7 million decrease in accrued expenses, accrued income taxes and other current liabilities and a $3.2 million decrease in deferred contract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$11.4 million during the three months ended March 31, 2019 was due to $25.7 million of investments in certificates of deposit, net of maturities of certificates of deposit of $40.0 million, $19.1 million of acquisition cash payments, $5.7 million of purchases of property and equipment and $0.8 million related to the capitalization of website development costs.</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$31.0 million during the three months ended March 31, 2018 was due primarily to $60.0 million of investments in certificates of deposit, net of maturities of certificates of deposit of $30.0 million, $0.6 million related to the capitalization of website development costs and $0.4 million of investments in furniture, computer equipment, and leasehold improvements.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of $3.3 million during the three months ended March 31, 2019 was due primarily to the payment of withholding taxes on net share settlements of equity awards of $4.0 million, partially offset by $0.7 million related to the proceeds from the issuance of common stock related to the exercise of vested stock options.</w:t>
      </w:r>
    </w:p>
    <w:p>
      <w:pPr>
        <w:spacing w:after="0" w:line="176"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$1.1 million during the three months ended March 31, 2018 was due primarily to payment of initial public offering costs of $1.1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Known Future Cash Requirements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there were no material changes in our contractual obligations and commitments from those disclosed in our 2018 Annual Report, other than those appearing in the notes to the Unaudited Condensed Consolidated Financial Statements appearing elsewhere in this Quarterly Report, which are hereby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and December 31, 2018, we did not have any off-balance sheet arrangements entered into in the normal course of business, that have or are reasonably likely to have a current or future material effect on our financial condition, changes in financial condition, revenues or expenses, results of operations, liquidity, capital expenditures, or capital resources.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The accounting estimates that require the most difficult and subjective judgments include revenue recognition and revenue reserve, the valuation of goodwill and intangible assets, the capitalization of product, technology, and development costs for website development and internal use software, and the recoverability of our net deferred tax assets and related valuation allowance. Therefore, we consider these to be our critical accounting policies. We evaluate our estimates and assumptions on an ongoing basis. Our actual results may differ from these estimates and assumptions. For a detailed explanation of the judgments made in these areas, refer to “Management’s Discussion and Analysis of Financial Condition and Results of Operations” in our 2018 Annual Report.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affect our financial position due to adverse changes in financial market prices and rates. We are exposed to market risks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long-term borrowings at March 31, 2019 or at December 31, 2018.</w:t>
      </w:r>
    </w:p>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investments of $138.4 million and $157.7 million at March 31, 2019 and December 31, 2018, respectively, which consist of bank deposits, money market funds, and certificates of deposit with maturity dates of six months. Such interest-earning instruments carry a degree of interest rate risk. To date, fluctuations in interest income have not been significant.</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Historically, because our operations and sales have been primarily in the United States, we have not faced any significant foreign currency risk. As of March 31, 2019 and December 31, 2018, we have foreign currency exposures in the British pound, the Euro and the Canadian dollar, although such exposure is not significant. As of March 31, 2019, our foreign currency exposure increased due to the issuance of an intercompany note payable in connection with the PistonHeads acquisition. The intercompany note payable is expected to be repaid during the year ending December 31, 2019.</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w:t>
      </w:r>
    </w:p>
    <w:p>
      <w:pPr>
        <w:spacing w:after="0" w:line="176"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As we expand internationally, our risks associated with fluctuation in currency rates will become greater, and we will continue to reassess our approach to managing these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During the first quarter ended March 31, 2019, we implemented certain internal controls in connection with our adoption of ASC 842 as well as the acquisition of PistonHeads. There was no other change in our internal control over financial reporting (as defined in Rules 13a-15(f) and 15d-15(f) under the Exchange Act) that occurred during the first quarter ended March 31, 2019 that has materially affected, or is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18"/>
        <w:spacing w:after="0" w:line="224" w:lineRule="exact"/>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carefully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67"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we are transitioning many of these dealers to contracts with one-year committed terms, the majority of our contracts with dealers currently provide for one-month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business and financial results would be materially and adversely affected.</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If paying dealers do not experience the volume of consumer connections that they expect during their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8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allow dealers to list their inventory in our marketplace for free; however, dealer identity and contact information are not permitted in such free listings and these dealers do not receive access to the paid features of our marketplace. Many dealers start with us on a non-paying basis and then become paying customers in order to take advantage of the features of our Enhanced or Featured Listing products. If dealers do not subscribe to our paid offerings at the rates we expect, or if a greater than expected number of our paying dealers elect to terminate their subscriptions, our business and financial results would be materially and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dealers or other advertisers reduce their advertising spend with us and we are unable to attract new advertisers, our business would be harmed.</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 significant amount of our revenue is derived from advertising revenues generated primarily through advertising sales, including for display advertising and retargeting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2" w:lineRule="exact"/>
        <w:rPr>
          <w:sz w:val="20"/>
          <w:szCs w:val="20"/>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number of consumers using our marketplace;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for advertising spending with other online automotive marketplaces;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4" w:name="page35"/>
    <w:bookmarkEnd w:id="34"/>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our advertising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changes in technology and the practices and offerings of our competitors;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an attractive ROI to our advertisers for their advertising spend with us.</w:t>
      </w:r>
    </w:p>
    <w:p>
      <w:pPr>
        <w:spacing w:after="0" w:line="26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on our websites beyond the committed term.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81" w:lineRule="exact"/>
        <w:rPr>
          <w:sz w:val="20"/>
          <w:szCs w:val="20"/>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attractive marketplace for consumers and dealers, including on mobile platforms;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introduce products for our marketplace on mobile platforms;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products that are effective and have a high degree of consumer engagement;</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compatibility of our mobile applications with operating systems, such as iOS and Android, and with popular mobile devices running such operating systems; and</w:t>
      </w:r>
    </w:p>
    <w:p>
      <w:pPr>
        <w:spacing w:after="0" w:line="53"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and analyze a sufficient amount of data to enable us to provide relevant information to consumers, including pricing information and accurate vehicle details.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use of our marketplace, particularly on mobile devices, does not continue to grow, our business and operating results would be harmed.</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5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websites have experienced fluctuations in search result rankings in the past, and we anticipate fluctuations in the future. Any reduction in the number of consumers directed to our websites through internet search engines could harm our business and operating results.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5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Our success depends on our continued innovation to provide products and services that make our marketplace, websites, and mobile applications useful for consumers and dealers or that otherwise provide value to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harm our business and financial results.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5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build and maintain our brand would harm our ability to grow our audience and to expand the use of our marketplace by consumers and dealers.</w:t>
      </w:r>
    </w:p>
    <w:p>
      <w:pPr>
        <w:spacing w:after="0" w:line="5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8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Portions of our websites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historically focused our marketing efforts on internet and mobile channels, we have implemented brand-focused campaigns using television, social media and online video and these efforts may not be successful.</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As a consumer brand, it is important for us to increase the visibility of our brand with potential users of our marketplace. While we historically focused our marketing efforts on internet and mobile channels, we now advertise through television, social media, online video, and other channels,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rapid growth is not indicative of our future growth, and our revenue growth rate will continue to decline in the future.</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Our revenue increased to $454.1 million for the year ended December 31, 2018 from $316.9 million for the year ended December 31, 2017, representing a 43% increase between such periods, and increased to $135.3 million for the three months ended March 31, 2019 from $98.6 million for the three months ended March 31, 2018, representing a 37% increase between such periods. In the future, our revenue growth rates will continue to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80" w:lineRule="exact"/>
        <w:rPr>
          <w:sz w:val="20"/>
          <w:szCs w:val="20"/>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consumers using our marketplace;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number of dealers that subscribe to our marketplace and maintain and increase the fees that they are paying;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advertisers placing advertisements in our marketplace;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the quality of our marketplace, and introduce high quality new products;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connections between consumers and dealers using our marketplace.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both domestically and abroad, our revenue, business, and financial results will be harmed.</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intend to continue to expand our operations to target new markets, both domestically and abroad, and there can be no assurance that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obtaining and maintaining access to inventory data, competition for consumers and dealers using our marketplace, monetizing dealers, new regulatory environments and laws, different consumer shopping habits than those we are familiar with, and our ability to expand the number of our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as we expand internationally.</w:t>
      </w:r>
    </w:p>
    <w:p>
      <w:pPr>
        <w:spacing w:after="0" w:line="5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expect to expand our international operations significantly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international markets, which could affect our business and potential growth.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addition to English, we have made portions of our platform available in French, German, Italian, and Spanish, and we will need to make all or portions of our platform available in additional languages as we launch in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resolution systems, and commercial infrastructures. Expanding internationally may subject us to new risks or increase our exposure in connection with current risks, including risks associated with:</w:t>
      </w:r>
    </w:p>
    <w:p>
      <w:pPr>
        <w:spacing w:after="0" w:line="81" w:lineRule="exact"/>
        <w:rPr>
          <w:sz w:val="20"/>
          <w:szCs w:val="20"/>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qualified, multilingual employees, including sales personnel;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our websites to conform to local automobile shopping expectations;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local websites and periodicals and potential preferences by local populations for local providers;</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including different privacy, censorship, and liability standards and regulations, and different intellectual property laws;</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solutions in different languages and for different cultures, which may require that we modify our solutions and features so they are culturally relevant in different countries;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enforceability of our intellectual property rights;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higher levels of payment fraud;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compliance with the Foreign Corrupt Practices Act and the U.K. Bribery Act;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prevent us from repatriating cash earned outside the United States;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trade relationships among foreign countries and/or between the United States and such countries;</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market, and pressure from existing and new companies may adversely affect our business and operating results.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68" w:lineRule="exact"/>
        <w:rPr>
          <w:sz w:val="20"/>
          <w:szCs w:val="20"/>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United States online automotive marketplaces: AutoTrader.com, Cars.com, and TrueCar.com;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United States automotive websites, such as Edmunds.com, KBB.com, and Carfax.com;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automotive marketplaces and websites in international markets;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search engines;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marketing providers;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to peer marketplaces;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operated by individual automobile dealers.</w:t>
      </w:r>
    </w:p>
    <w:p>
      <w:pPr>
        <w:spacing w:after="0" w:line="25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62"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Although the dealership industry is highly fragmented, a small number of interested parties have significant influence over the industry. These parties include state and national dealership associations, state regulators, automotive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closures or consolidations could reduce demand for our products, which may decrease our revenue.</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the past, the number of United States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and strategic partners for many aspects of our business, and any failure to maintain these relationships could harm our business.</w:t>
      </w:r>
    </w:p>
    <w:p>
      <w:pPr>
        <w:spacing w:after="0" w:line="5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Our success will depend upon our relationships with third parties, including our payment processor, our data center hosts, our information technology providers, our data providers for dealer inventory and vehicle information, our human resources information system provider, our billing subscription software provider, our customer relationship management software provider, our financial planning and analysis software provider, our information integration platform providers, our marketing platform providers, our business intelligence and data analytics providers, our search engine and social media advertising providers, our invoice and expense provider, our equity administrator provider, and our general ledger provider, as well as our other strategic partners, including consumer and commercial lenders. If these third parties experience difficulty meeting our requirements or standards, have adverse audit results, violate the terms of our relationship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continue to grow rapidly, we may not be able to manage our growth effectively.</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in our headcount and operations, which places substantial demand on management and our operational infrastructure. In addition, with further growth and expansion, our employee base will continue to spread outside of our headquarters in Cambridge, Massachusetts.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respond to changes in the market, our business could be harmed.</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disputes regarding the accuracy of Instant Market Value, Deal Rating, Dealer Rating, New Car Price Guidance and other features of our marketplace.</w:t>
      </w:r>
    </w:p>
    <w:p>
      <w:pPr>
        <w:spacing w:after="0" w:line="5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provide consumers using our marketplace with our proprietary Instant Market Value, or IMV, Deal Rating, and Dealer Rating, as well as other features to help them evaluate vehicle listings, including price guidance for new car listings, or New Car Price Guidance. Revisions to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 and could result in legal disputes.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acquire other companies or technologies, such activities could divert our management’s attention, result in additional dilution to our stockholders, and otherwise disrupt our operations and harm our operating results.</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the demands of consumers, dealers, and other constituents within the automotive industry as well as competitive pressures. In some circumstances, we will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72" w:lineRule="exact"/>
        <w:rPr>
          <w:sz w:val="20"/>
          <w:szCs w:val="20"/>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research, and development, and sales and marketing functions;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consumers and data to our marketplace and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intangibles or other assets acquired in such transactions that may have an adverse effect on our operating results in a given period;</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consumers, former stockholders, and other third parties.</w:t>
      </w:r>
    </w:p>
    <w:p>
      <w:pPr>
        <w:spacing w:after="0" w:line="18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cause us to be reluctant to engage in future transactions, and harm our business generally. Acquisitions could 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United States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State Motor Vehicle Sales, Advertising and Brokering, and Consumer Protection Laws</w:t>
      </w:r>
    </w:p>
    <w:p>
      <w:pPr>
        <w:spacing w:after="0" w:line="11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The advertising and sale of new and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8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If state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Laws and Regulations</w:t>
      </w:r>
    </w:p>
    <w:p>
      <w:pPr>
        <w:spacing w:after="0" w:line="11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88"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8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Antitrust Laws</w:t>
      </w:r>
    </w:p>
    <w:p>
      <w:pPr>
        <w:spacing w:after="0" w:line="11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United States federal antitrust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Claims could be made against us under both United States and foreign laws, including claims for defamation, libel, invasion of privacy, copyright or trademark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88"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The foregoing description of laws and regulations to which we are or may be subject is not exhaustive, and the regulatory framework governing our operations is subject to continuous change. As we expand our operations internationally,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the larger automotive industry ecosystem, including consumer demand, global supply chain challenges, and other macroeconomic issues.</w:t>
      </w:r>
    </w:p>
    <w:p>
      <w:pPr>
        <w:spacing w:after="0" w:line="5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rising interest rates, which may reduce the demand for consumer credit due to the higher cost of borrowing; reductions in business and consumer confidence; stock market volatility; increased unemployment; and changing trade barriers, including increased tariff rates or custom duties.</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addition, our business may be negatively affected by challenges to the larger automotive industry ecosystem, including global supply chain challenges, changes to trade policies, and other macroeconomic issues. For example, the United Kingdom’s referendum to exit the European Union, or the EU, commonly referred to as “Brexit”, could adversely affect European and global economic or market conditions, contribute to instability in global financial markets, and cause disruptions to and create uncertainty surrounding our business and operations in the United Kingdom. These factors could have a material adverse effect on our business, results of operations, and financial condition.</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However, this strategy may not result in the long-term benefits that we expect, in which case our user traffic and engagement, business, and financial results could be harmed.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service on our websites could damage our reputation and result in a loss of consumers, which could harm our business, brand, operating results, and financial condition.</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8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Substantially all of the communications, network, and computer hardware used to operate our platform is located in the United States near Boston, Massachusetts, and in Europe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We are planning a migration of some of our data-hosting to a different third-party data-hosting facility. We do not maintain redundant systems or facilities for some of the services hosted at our current facility. In the event the migration results in disruption to one or more of these systems, we may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8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7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51"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18"/>
          <w:szCs w:val="18"/>
          <w:color w:val="auto"/>
        </w:rPr>
        <w:t>Use of some functions of our marketplace involves the storage and transmission of consumers’ information, such as IP addresses and contact information of users who connect with dealers and profile information of users who create accounts on our marketplace, and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Any or all of the issues above could negatively impact our ability to attract new consumers and increase engagement by existing consumers, cause existing consumers to curtail or stop use of our marketplace or close their accounts, cause existing dealers and advertisers to cancel their contracts, cause employees to terminate their employment, cause employment candidates to be unwilling to accept employment offers, and or subject us to governmental or third-party lawsuits, investigations, regulatory fines, or other actions or liability, thereby harming our business, results of operations, and financial condition.</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80"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18"/>
          <w:szCs w:val="18"/>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new California Consumer Privacy Act, which is expected to become effective in January 2020. The GDPR in particular has already required, and may further require, us to change our policies and procedures and, if we are not in compliance, may seriously harm our business. Similarly, Brexit may further require us to change our policies and procedures and, if we are not in compliance, may seriously harm our business.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any third party that we share information with experiences a security breach or fails to comply with its privacy-related legal obligations or commitments to us, such matters may put consumer or dealer information at risk and could in turn expose us to claims for damages or regulatory fines or penalties and harm our reputation, business, and operating results.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be subject to intellectual property disputes, which are costly to defend and could harm our business and operating results.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our websites disseminate materials that infringe the intellectual property rights of third parties. We have encountered lawsuits in the past containing allegations of intellectual property infringement.</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could harm our business and operating results.</w:t>
      </w:r>
    </w:p>
    <w:p>
      <w:pPr>
        <w:spacing w:after="0" w:line="121"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websites features, software, and functionality or obtain and use information that we consider proprietary.</w:t>
      </w:r>
    </w:p>
    <w:p>
      <w:pPr>
        <w:spacing w:after="0" w:line="200" w:lineRule="exact"/>
        <w:rPr>
          <w:sz w:val="20"/>
          <w:szCs w:val="20"/>
          <w:color w:val="auto"/>
        </w:rPr>
      </w:pPr>
    </w:p>
    <w:p>
      <w:pPr>
        <w:spacing w:after="0" w:line="204"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 Europe and other countries. Also, while we have registered the CARGURUS and CG logos in the EU and the United Kingdom, as well as the word-mark CARGURUS in the United Kingdom and Spain, we are not able to register the word-mark CARGURUS in the EU as the mark was deemed to be non-distinctive, and thus unregisterable. We may be unable to register CARGURUS, the word-mark, in certain other countries in the EU. If we are unable to register the CARGURUS word-mark in any country, it may limit our ability to challenge unauthorized users of marks that are the same as or similar to CARGURUS.</w:t>
      </w:r>
    </w:p>
    <w:p>
      <w:pPr>
        <w:spacing w:after="0" w:line="18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may create copycat or squatter domains to deceive consumers, which could harm our brand, interfere with our ability to register domain names, and result in additional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12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halt the operations of websites that aggregate or misappropriate our data.</w:t>
      </w:r>
    </w:p>
    <w:p>
      <w:pPr>
        <w:spacing w:after="0" w:line="12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in the past and we may generate losses in the future.</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have incurred net operating losses in the past. Although we have experienced significant growth in revenue, our revenue growth rate is likely to continue to decline in the future as a result of a variety of factors. Our international expansion and new product launches may cause our costs to increase in future periods as we continue to expend substantial financial resources to enter into those markets and promote the new products, as applicable. Our costs may also increase due to general administrative expenses, such as legal and accounting expenses related to being a public company. If we fail to increase our revenue or manage these additional costs, we may incur losses in the future.</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5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As a public company, we are incurring significant legal, accounting, and other expenses that we did not incur as a private company and these expenses are increasing as we ceased being an “emerging growth company,” as defined in the Jumpstart Our Business Startups Act of 2012, or the JOBS Act, as of December 31, 2018. In addition, the Sarbanes-Oxley Act of 2002, or the Sarbanes-Oxley Act, and rules subsequently implemented by the SEC and the Nasdaq Stock Market, or Nasdaq, impose various requirements on public companies, including requiring certain corporate governance practices. Our management and other personnel devote and expect to continue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These rules and regulations could also make it more difficult for us to attract and retain qualified persons to serve on our board of directors or our board committees or as executive officers.</w:t>
      </w:r>
    </w:p>
    <w:p>
      <w:pPr>
        <w:spacing w:after="0" w:line="185"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addition, the Sarbanes-Oxley Act requires, among other things, that we assess the effectiveness of our internal control over financial reporting annually and the effectiveness of our disclosure controls and procedures quarterly. In particular, as we are now a large accelerated filer, our independent registered public accounting firm is required to attest to the effectiveness of our internal control over financial reporting, pursuant to Section 404 of the Sarbanes-Oxley Act, or Section 404, and the cost of our compliance with Section 404 has correspondingly increased. Our compliance with applicable provisions of Section 404 requires that we incur substantial accounting expense and expend significant management time on compliance-related issues as we implement additional corporate governance practices and comply with reporting requirements.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any required remediation in a timely fashion. We are also required to disclose significant changes made to our internal control procedures on a quarterly basis. Our compliance with Section 404 will require that we incur substantial accounting expense and expend significant management efforts.</w:t>
      </w:r>
    </w:p>
    <w:p>
      <w:pPr>
        <w:spacing w:after="0" w:line="18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operating results.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Across the retail automotive industry, consumer purchases typically increase through the first three quarters of each year, due in part to the introduction of new vehicle models from manufacturers, and our consumer-marketing spend generally grows accordingly. As consumer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results of operations to fluctuate on a quarterly and annual basis.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21" w:lineRule="exact"/>
        <w:rPr>
          <w:sz w:val="20"/>
          <w:szCs w:val="20"/>
          <w:color w:val="auto"/>
        </w:rPr>
      </w:pPr>
    </w:p>
    <w:p>
      <w:pPr>
        <w:jc w:val="both"/>
        <w:ind w:firstLine="518"/>
        <w:spacing w:after="0" w:line="224" w:lineRule="exact"/>
        <w:rPr>
          <w:sz w:val="20"/>
          <w:szCs w:val="20"/>
          <w:color w:val="auto"/>
        </w:rPr>
      </w:pPr>
      <w:r>
        <w:rPr>
          <w:rFonts w:ascii="Times New Roman" w:cs="Times New Roman" w:eastAsia="Times New Roman" w:hAnsi="Times New Roman"/>
          <w:sz w:val="18"/>
          <w:szCs w:val="18"/>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a public company that is subject to significant regulatory oversight and reporting obligations under the federal securities laws and the scrutiny of securities analysts and investors. These obligations and constituents require significant attention from our management team and may divert their attention away from the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management of our business, which could materially adversely affect our business, financial condition and operating results.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pursue our business objectives and respond to business opportunities, challenges, or unforeseen circumstances. If capital is not available to us, our business, operating results, and financial condition may be harmed.</w:t>
      </w:r>
    </w:p>
    <w:p>
      <w:pPr>
        <w:spacing w:after="0" w:line="5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further improve our marketplace and existing products, enhance our operating infrastructure, expand internationally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8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adverse changes in applicable tax laws, regulations and interpretations, as well as challenges to our tax positions.</w:t>
      </w:r>
    </w:p>
    <w:p>
      <w:pPr>
        <w:spacing w:after="0" w:line="22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w:t>
      </w:r>
    </w:p>
    <w:p>
      <w:pPr>
        <w:spacing w:after="0" w:line="17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addition, tax laws and regulations are complex and subject to varying interpretations. On June 21, 2018, the United States Supreme Court issued its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the Wayfair Decision, which overturned prior case law that held that out-of-state merchants were not required to collect sales taxes unless they had a physical presence in the buyer’s state. Although we currently believe that the Wayfair Decision is unlikely to have a material effect on our business, it has created uncertainty over sales tax liability, and could precipitate reactions by legislators, regulators and courts that could adversely increase our tax administrative costs and tax risk, and negatively affect our overall business, results of operations, financial condition and cash flows.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We are also regularly subject to audits by tax authorities. For example, we are currently under audit by the Internal Revenue Service with respect to our 2016 federal income taxes and federal employment taxes. Any adverse development or outcome in connection with these tax audits, and any other audits or litigation, could materially and adversely impact our effective tax rate, tax payments, results of operations, financial condition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51"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7"/>
          <w:szCs w:val="17"/>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8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5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stockholders to influence corporate matters for the foreseeable future.</w:t>
      </w:r>
    </w:p>
    <w:p>
      <w:pPr>
        <w:spacing w:after="0" w:line="18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 and the value of our stockholders’ investment in our stock could decline.</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68" w:lineRule="exact"/>
        <w:rPr>
          <w:sz w:val="20"/>
          <w:szCs w:val="20"/>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operating results or fluctuations in our operating results;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automobile industry;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exclusion of our Class A common stock from major stock indexes could adversely affect the trading market and price of our Class A common stock.</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5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68" w:lineRule="exact"/>
        <w:rPr>
          <w:sz w:val="20"/>
          <w:szCs w:val="20"/>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jc w:val="both"/>
        <w:ind w:left="900" w:hanging="379"/>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7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from and after the threshold date, of stockholders to amend our amended and restated certificate of incorporation;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from and after the threshold date, of stockholders to fill vacant directorships and remove directors;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by stockholders.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5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changes its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our stockholders may only receive a return on their investment in our Class A common stock if the trading price of their shares increases.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 “controlled company” could make our Class A common stock less attractive to some investors or otherwise harm our stock price.</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68" w:lineRule="exact"/>
        <w:rPr>
          <w:sz w:val="20"/>
          <w:szCs w:val="20"/>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as defined under the rules of Nasdaq;</w:t>
      </w:r>
    </w:p>
    <w:p>
      <w:pPr>
        <w:spacing w:after="0" w:line="117"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53" w:lineRule="exact"/>
        <w:rPr>
          <w:rFonts w:ascii="Times New Roman" w:cs="Times New Roman" w:eastAsia="Times New Roman" w:hAnsi="Times New Roman"/>
          <w:sz w:val="18"/>
          <w:szCs w:val="18"/>
          <w:color w:val="auto"/>
        </w:rPr>
      </w:pPr>
    </w:p>
    <w:p>
      <w:pPr>
        <w:jc w:val="both"/>
        <w:ind w:left="900" w:hanging="379"/>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1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of December 31, 2018, we ceased being an emerging growth company and, as a result, we have incurred and expect to continue to incur significant additional legal and financial compliance costs by complying with increased disclosure and governance requirements.</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2018, as a result of our market capitalization as of June 29, 2018 (and our having been public for at least 12 months as of December 31, 2018 and our having filed our 2017 Annual Report with the SEC), we were a large accelerated filer and ceased being an emerging growth company. Therefore, we are subject to certain requirements that apply to other public companies but did not previously apply to us due to our status as an emerging growth company. These requirements include:</w:t>
      </w:r>
    </w:p>
    <w:p>
      <w:pPr>
        <w:spacing w:after="0" w:line="72" w:lineRule="exact"/>
        <w:rPr>
          <w:sz w:val="20"/>
          <w:szCs w:val="20"/>
          <w:color w:val="auto"/>
        </w:rPr>
      </w:pPr>
    </w:p>
    <w:p>
      <w:pPr>
        <w:ind w:left="900" w:hanging="379"/>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404 requiring that our independent registered public accounting firm provide an attestation report on the effectiveness of our internal control over financial reporting;</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provide detailed compensation discussion and analysis in proxy statements and reports filed under the Exchange Act; and</w:t>
      </w:r>
    </w:p>
    <w:p>
      <w:pPr>
        <w:spacing w:after="0" w:line="117" w:lineRule="exact"/>
        <w:rPr>
          <w:rFonts w:ascii="Times New Roman" w:cs="Times New Roman" w:eastAsia="Times New Roman" w:hAnsi="Times New Roman"/>
          <w:sz w:val="18"/>
          <w:szCs w:val="18"/>
          <w:color w:val="auto"/>
        </w:rPr>
      </w:pPr>
    </w:p>
    <w:p>
      <w:pPr>
        <w:jc w:val="both"/>
        <w:ind w:left="900" w:hanging="379"/>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Consumer Protection Act, or the Dodd-Frank Act, and some of the disclosure requirements of the Dodd-Frank Act relating to compensation of our Chief Executive Officer.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2" w:name="page53"/>
    <w:bookmarkEnd w:id="52"/>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have already incurred significant additional legal and financial compliance costs in connection with our loss of emerging growth company status. We expect that our compliance with these additional requirements, including the provisions of Section 404, will continue to substantially increase our legal and financial compliance costs and make some activities more time consuming and costly.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into this Quarterly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960" w:type="dxa"/>
            <w:vAlign w:val="bottom"/>
            <w:gridSpan w:val="3"/>
            <w:vMerge w:val="continue"/>
          </w:tcPr>
          <w:p>
            <w:pPr>
              <w:spacing w:after="0"/>
              <w:rPr>
                <w:sz w:val="10"/>
                <w:szCs w:val="10"/>
                <w:color w:val="auto"/>
              </w:rPr>
            </w:pPr>
          </w:p>
        </w:tc>
        <w:tc>
          <w:tcPr>
            <w:tcW w:w="412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6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120" w:type="dxa"/>
            <w:vAlign w:val="bottom"/>
            <w:gridSpan w:val="17"/>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3840" w:type="dxa"/>
            <w:vAlign w:val="bottom"/>
            <w:tcBorders>
              <w:top w:val="single" w:sz="8" w:color="auto"/>
            </w:tcBorders>
            <w:gridSpan w:val="16"/>
          </w:tcPr>
          <w:p>
            <w:pPr>
              <w:spacing w:after="0" w:line="170"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Certification of Principal Executive Officer Pursuant</w:t>
              </w:r>
            </w:hyperlink>
          </w:p>
        </w:tc>
        <w:tc>
          <w:tcPr>
            <w:tcW w:w="2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to Rules 13a-14(a) and 15d-14(a) under the</w:t>
              </w:r>
            </w:hyperlink>
          </w:p>
        </w:tc>
        <w:tc>
          <w:tcPr>
            <w:tcW w:w="3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Securities Exchange Act of 1934, as Adopted</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Pursuant to Section 302 of the Sarbanes-Oxley Act</w:t>
              </w:r>
            </w:hyperlink>
          </w:p>
        </w:tc>
        <w:tc>
          <w:tcPr>
            <w:tcW w:w="42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of 2002.</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Certification of Principal Financial Officer and</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Principal Accounting Officer Pursuant to Rules 13a-</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14(a) and 15d-14(a) under the Securities Exchange</w:t>
              </w:r>
            </w:hyperlink>
          </w:p>
        </w:tc>
        <w:tc>
          <w:tcPr>
            <w:tcW w:w="100" w:type="dxa"/>
            <w:vAlign w:val="bottom"/>
            <w:tcBorders>
              <w:top w:val="single" w:sz="8" w:color="0000EE"/>
            </w:tcBorders>
            <w:gridSpan w:val="4"/>
          </w:tcPr>
          <w:p>
            <w:pPr>
              <w:spacing w:after="0"/>
              <w:rPr>
                <w:sz w:val="17"/>
                <w:szCs w:val="17"/>
                <w:color w:val="auto"/>
              </w:rPr>
            </w:pPr>
          </w:p>
        </w:tc>
        <w:tc>
          <w:tcPr>
            <w:tcW w:w="34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Act of 1934, as Adopted Pursuant to Section 302 of</w:t>
              </w:r>
            </w:hyperlink>
          </w:p>
        </w:tc>
        <w:tc>
          <w:tcPr>
            <w:tcW w:w="38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the Sarbanes-Oxley Act of 2002.</w:t>
              </w:r>
            </w:hyperlink>
          </w:p>
        </w:tc>
        <w:tc>
          <w:tcPr>
            <w:tcW w:w="172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Certification of Principal Executive Officer Pursuant</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to 18 U.S.C. Section 1350, as Adopted Pursuant to</w:t>
              </w:r>
            </w:hyperlink>
          </w:p>
        </w:tc>
        <w:tc>
          <w:tcPr>
            <w:tcW w:w="140" w:type="dxa"/>
            <w:vAlign w:val="bottom"/>
            <w:tcBorders>
              <w:top w:val="single" w:sz="8" w:color="0000EE"/>
            </w:tcBorders>
            <w:gridSpan w:val="6"/>
          </w:tcPr>
          <w:p>
            <w:pPr>
              <w:spacing w:after="0"/>
              <w:rPr>
                <w:sz w:val="17"/>
                <w:szCs w:val="17"/>
                <w:color w:val="auto"/>
              </w:rPr>
            </w:pPr>
          </w:p>
        </w:tc>
        <w:tc>
          <w:tcPr>
            <w:tcW w:w="3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Section 906 of the Sarbanes-Oxley Act of 2002.</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34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Certification of Principal Financial Officer and</w:t>
              </w:r>
            </w:hyperlink>
          </w:p>
        </w:tc>
        <w:tc>
          <w:tcPr>
            <w:tcW w:w="66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Principal Accounting Officer Pursuant to 18 U.S.C.</w:t>
              </w:r>
            </w:hyperlink>
          </w:p>
        </w:tc>
        <w:tc>
          <w:tcPr>
            <w:tcW w:w="40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Section 1350, as Adopted Pursuant to Section 906 of</w:t>
              </w:r>
            </w:hyperlink>
          </w:p>
        </w:tc>
        <w:tc>
          <w:tcPr>
            <w:tcW w:w="3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the Sarbanes-Oxley Act of 2002.</w:t>
              </w:r>
            </w:hyperlink>
          </w:p>
        </w:tc>
        <w:tc>
          <w:tcPr>
            <w:tcW w:w="174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1" w:lineRule="exact"/>
        <w:rPr>
          <w:sz w:val="20"/>
          <w:szCs w:val="20"/>
          <w:color w:val="auto"/>
        </w:rPr>
      </w:pPr>
    </w:p>
    <w:p>
      <w:pPr>
        <w:ind w:firstLine="8"/>
        <w:spacing w:after="0" w:line="282" w:lineRule="auto"/>
        <w:tabs>
          <w:tab w:leader="none" w:pos="1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92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CarGurus, Inc.</w:t>
            </w:r>
          </w:p>
        </w:tc>
      </w:tr>
      <w:tr>
        <w:trPr>
          <w:trHeight w:val="48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79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Langley Steinert</w:t>
            </w:r>
          </w:p>
        </w:tc>
      </w:tr>
      <w:tr>
        <w:trPr>
          <w:trHeight w:val="218"/>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Langley Steinert</w:t>
            </w:r>
          </w:p>
        </w:tc>
      </w:tr>
      <w:tr>
        <w:trPr>
          <w:trHeight w:val="214"/>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79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18"/>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14"/>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48"/>
        </w:trPr>
        <w:tc>
          <w:tcPr>
            <w:tcW w:w="3500" w:type="dxa"/>
            <w:vAlign w:val="bottom"/>
          </w:tcPr>
          <w:p>
            <w:pPr>
              <w:spacing w:after="0"/>
              <w:rPr>
                <w:sz w:val="24"/>
                <w:szCs w:val="24"/>
                <w:color w:val="auto"/>
              </w:rPr>
            </w:pPr>
          </w:p>
        </w:tc>
        <w:tc>
          <w:tcPr>
            <w:tcW w:w="2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53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CarGurus,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78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Langley Steinert</w:t>
            </w:r>
          </w:p>
        </w:tc>
      </w:tr>
      <w:tr>
        <w:trPr>
          <w:trHeight w:val="218"/>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Langley Steinert</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CarGurus,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78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18"/>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420"/>
          </w:cols>
          <w:pgMar w:left="240" w:top="11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CarGurus, Inc. (the “Company”) for the period ending March 31, 2019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76"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78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Langley Steinert</w:t>
            </w:r>
          </w:p>
        </w:tc>
      </w:tr>
      <w:tr>
        <w:trPr>
          <w:trHeight w:val="218"/>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Langley Steinert</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CarGurus, Inc. (the “Company”) for the period ending March 31, 2019 as filed with the Securities and Exchange Commission on the date hereof (the “Report”), I, Jason Trevisan, Chief Financial Officer of the Company, certify, pursuant to 18 U.S.C. § 1350, as adopted pursuant to § 906 of the Sarbanes-Oxley Act of 2002, that, based on my knowledge:</w:t>
      </w:r>
    </w:p>
    <w:p>
      <w:pPr>
        <w:spacing w:after="0" w:line="176"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78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18"/>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84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2019-12-28T12:34:57Z</dcterms:created>
  <dcterms:modified xsi:type="dcterms:W3CDTF">2019-12-28T12:34:57Z</dcterms:modified>
</cp:coreProperties>
</file>